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69239" w14:textId="47F2CF22" w:rsidR="00C140EF" w:rsidRPr="00977649" w:rsidRDefault="00283577" w:rsidP="00240B56">
      <w:pPr>
        <w:pStyle w:val="Capoverso"/>
        <w:spacing w:line="20" w:lineRule="exact"/>
        <w:rPr>
          <w:rFonts w:cs="Arial"/>
          <w:szCs w:val="22"/>
        </w:rPr>
      </w:pPr>
      <w:r>
        <w:rPr>
          <w:rFonts w:cs="Arial"/>
          <w:noProof/>
          <w:szCs w:val="22"/>
        </w:rPr>
        <w:drawing>
          <wp:anchor distT="0" distB="0" distL="114300" distR="114300" simplePos="0" relativeHeight="251659264" behindDoc="0" locked="0" layoutInCell="1" allowOverlap="1" wp14:anchorId="50874889">
            <wp:simplePos x="0" y="0"/>
            <wp:positionH relativeFrom="column">
              <wp:posOffset>-1350010</wp:posOffset>
            </wp:positionH>
            <wp:positionV relativeFrom="paragraph">
              <wp:posOffset>-1097915</wp:posOffset>
            </wp:positionV>
            <wp:extent cx="7633970" cy="1440180"/>
            <wp:effectExtent l="0" t="0" r="0" b="0"/>
            <wp:wrapNone/>
            <wp:docPr id="2" name="Immagin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33970" cy="1440180"/>
                    </a:xfrm>
                    <a:prstGeom prst="rect">
                      <a:avLst/>
                    </a:prstGeom>
                    <a:noFill/>
                  </pic:spPr>
                </pic:pic>
              </a:graphicData>
            </a:graphic>
            <wp14:sizeRelH relativeFrom="page">
              <wp14:pctWidth>0</wp14:pctWidth>
            </wp14:sizeRelH>
            <wp14:sizeRelV relativeFrom="page">
              <wp14:pctHeight>0</wp14:pctHeight>
            </wp14:sizeRelV>
          </wp:anchor>
        </w:drawing>
      </w:r>
    </w:p>
    <w:p w14:paraId="02998D4E" w14:textId="65D56E3C" w:rsidR="00AD1537" w:rsidRDefault="00AD1537" w:rsidP="003F2621">
      <w:pPr>
        <w:pStyle w:val="Titolocapitolo"/>
      </w:pPr>
      <w:bookmarkStart w:id="0" w:name="_Hlk111802608"/>
      <w:bookmarkStart w:id="1" w:name="_Hlk111802218"/>
      <w:r>
        <w:t xml:space="preserve">La strategia europea di decarbonizzazione </w:t>
      </w:r>
      <w:r w:rsidR="008A3B4E">
        <w:br/>
      </w:r>
      <w:r>
        <w:t>e il nuovo modello di disciplina dei mercati alla prova dell’emergenza ucraina</w:t>
      </w:r>
      <w:bookmarkEnd w:id="0"/>
    </w:p>
    <w:p w14:paraId="294C2CCE" w14:textId="11DEA1F1" w:rsidR="00AD1537" w:rsidRDefault="00AD1537" w:rsidP="003F2621">
      <w:pPr>
        <w:pStyle w:val="TitolodelCapitoloinglese"/>
      </w:pPr>
      <w:r>
        <w:t xml:space="preserve">The European Decarbonization Strategy </w:t>
      </w:r>
      <w:r w:rsidR="008A3B4E">
        <w:br/>
      </w:r>
      <w:r>
        <w:t>and the new Paradigm of Market Regulation in the face of Ukrainian Emergency</w:t>
      </w:r>
    </w:p>
    <w:p w14:paraId="6FA11C32" w14:textId="196CE357" w:rsidR="00AD1537" w:rsidRPr="003F2621" w:rsidRDefault="00AD1537" w:rsidP="003F2621">
      <w:pPr>
        <w:pStyle w:val="Autore"/>
      </w:pPr>
      <w:bookmarkStart w:id="2" w:name="_Hlk111802618"/>
      <w:r w:rsidRPr="00977649">
        <w:rPr>
          <w:i w:val="0"/>
          <w:iCs/>
        </w:rPr>
        <w:t xml:space="preserve">di </w:t>
      </w:r>
      <w:r w:rsidRPr="003F2621">
        <w:t>Eugenio Bruti Liberati</w:t>
      </w:r>
      <w:bookmarkEnd w:id="2"/>
      <w:r w:rsidR="00240B56">
        <w:t xml:space="preserve"> </w:t>
      </w:r>
      <w:r w:rsidR="00240B56">
        <w:rPr>
          <w:rStyle w:val="Rimandonotaapidipagina"/>
        </w:rPr>
        <w:footnoteReference w:customMarkFollows="1" w:id="1"/>
        <w:t>*</w:t>
      </w:r>
    </w:p>
    <w:p w14:paraId="45E9CA0B" w14:textId="5AEDDF27" w:rsidR="00AD1537" w:rsidRPr="003F2621" w:rsidRDefault="003F2621" w:rsidP="003F2621">
      <w:pPr>
        <w:pStyle w:val="Sommario"/>
      </w:pPr>
      <w:r>
        <w:rPr>
          <w:b/>
          <w:smallCaps/>
          <w:color w:val="AE1F23"/>
        </w:rPr>
        <w:t>Sommario</w:t>
      </w:r>
      <w:r>
        <w:rPr>
          <w:smallCaps/>
        </w:rPr>
        <w:t>:</w:t>
      </w:r>
      <w:r>
        <w:t xml:space="preserve"> </w:t>
      </w:r>
      <w:r w:rsidR="00AD1537" w:rsidRPr="003F2621">
        <w:t xml:space="preserve">1. Green Deal europeo ed emergenza ucraina. </w:t>
      </w:r>
      <w:r w:rsidR="00D12C31">
        <w:t xml:space="preserve">– </w:t>
      </w:r>
      <w:r w:rsidR="00AD1537" w:rsidRPr="003F2621">
        <w:t xml:space="preserve">2. Una strategia di decarbonizzazione e un modello di disciplina dei mercati (parzialmente) nuovi. </w:t>
      </w:r>
      <w:r w:rsidR="00D12C31">
        <w:t xml:space="preserve">– </w:t>
      </w:r>
      <w:r w:rsidR="00AD1537" w:rsidRPr="003F2621">
        <w:t>3. Ostacoli, dubbi e conferme.</w:t>
      </w:r>
    </w:p>
    <w:p w14:paraId="4BB77802" w14:textId="3DA75DA8" w:rsidR="00AD1537" w:rsidRPr="003F2621" w:rsidRDefault="003F2621" w:rsidP="003F2621">
      <w:pPr>
        <w:pStyle w:val="Paragrafo"/>
      </w:pPr>
      <w:r w:rsidRPr="003F2621">
        <w:t>1.</w:t>
      </w:r>
      <w:r w:rsidR="008A3B4E">
        <w:tab/>
      </w:r>
      <w:r w:rsidR="00AD1537" w:rsidRPr="003F2621">
        <w:t>Green Deal europeo ed emergenza ucraina</w:t>
      </w:r>
    </w:p>
    <w:p w14:paraId="5883BECA" w14:textId="77777777" w:rsidR="00AD1537" w:rsidRPr="00977649" w:rsidRDefault="00AD1537" w:rsidP="00977649">
      <w:pPr>
        <w:pStyle w:val="Capoverso"/>
        <w:rPr>
          <w:rFonts w:cs="Arial"/>
          <w:szCs w:val="22"/>
        </w:rPr>
      </w:pPr>
      <w:r w:rsidRPr="00977649">
        <w:rPr>
          <w:rFonts w:cs="Arial"/>
          <w:szCs w:val="22"/>
        </w:rPr>
        <w:t>Quanto meno a partire dal 2019 – dalla Comunicazione sul Green Deal europeo dell’11 dicembre di quell’anno – la Commissione europea ha impresso una significativa accelerazione alle sue politiche di contrasto al cambiamento climatico.</w:t>
      </w:r>
    </w:p>
    <w:p w14:paraId="513B31F5" w14:textId="5426670F" w:rsidR="00AD1537" w:rsidRPr="00977649" w:rsidRDefault="00AD1537" w:rsidP="00977649">
      <w:pPr>
        <w:pStyle w:val="Capoverso"/>
        <w:rPr>
          <w:rFonts w:cs="Arial"/>
          <w:szCs w:val="22"/>
        </w:rPr>
      </w:pPr>
      <w:r w:rsidRPr="00977649">
        <w:rPr>
          <w:rFonts w:cs="Arial"/>
          <w:szCs w:val="22"/>
        </w:rPr>
        <w:t>Pur continuando a muoversi all’interno del controverso paradigma della crescita sostenibile, e dunque senza mettere in discussione l’assunto da molti criticato di una possibile conciliazione tra obiettivi di decarbonizzazione e sviluppo economico</w:t>
      </w:r>
      <w:r w:rsidR="00410E7F" w:rsidRPr="00410E7F">
        <w:rPr>
          <w:rFonts w:cs="Arial"/>
          <w:szCs w:val="22"/>
          <w:vertAlign w:val="superscript"/>
        </w:rPr>
        <w:t> </w:t>
      </w:r>
      <w:r w:rsidR="00410E7F" w:rsidRPr="00410E7F">
        <w:rPr>
          <w:rFonts w:cs="Arial"/>
          <w:szCs w:val="22"/>
          <w:vertAlign w:val="superscript"/>
        </w:rPr>
        <w:footnoteReference w:id="2"/>
      </w:r>
      <w:r w:rsidRPr="00977649">
        <w:rPr>
          <w:rFonts w:cs="Arial"/>
          <w:szCs w:val="22"/>
        </w:rPr>
        <w:t>, la Commissione ha apportato alla sua strategia alcuni cambiamenti rilevanti, volti non soltanto ad incrementarne l’incisività ma anche a ridefinirne la portata rispetto ai più complessivi equilibri sociali ed economici determinati dalla disciplina pubblica dei mercati</w:t>
      </w:r>
      <w:r w:rsidR="00410E7F" w:rsidRPr="00410E7F">
        <w:rPr>
          <w:rFonts w:cs="Arial"/>
          <w:szCs w:val="22"/>
          <w:vertAlign w:val="superscript"/>
        </w:rPr>
        <w:t> </w:t>
      </w:r>
      <w:r w:rsidR="00410E7F" w:rsidRPr="00410E7F">
        <w:rPr>
          <w:rFonts w:cs="Arial"/>
          <w:szCs w:val="22"/>
          <w:vertAlign w:val="superscript"/>
        </w:rPr>
        <w:footnoteReference w:id="3"/>
      </w:r>
      <w:r w:rsidRPr="00977649">
        <w:rPr>
          <w:rFonts w:cs="Arial"/>
          <w:szCs w:val="22"/>
        </w:rPr>
        <w:t>.</w:t>
      </w:r>
    </w:p>
    <w:p w14:paraId="66F87764" w14:textId="1BCBACFC" w:rsidR="00AD1537" w:rsidRPr="00977649" w:rsidRDefault="00AD1537" w:rsidP="00977649">
      <w:pPr>
        <w:pStyle w:val="Capoverso"/>
        <w:rPr>
          <w:rFonts w:cs="Arial"/>
          <w:szCs w:val="22"/>
        </w:rPr>
      </w:pPr>
      <w:r w:rsidRPr="00977649">
        <w:rPr>
          <w:rFonts w:cs="Arial"/>
          <w:szCs w:val="22"/>
        </w:rPr>
        <w:lastRenderedPageBreak/>
        <w:t>Nel corso del 2021 il disegno delineato dalla Comunicazione sul Green Deal europeo è venuto consolidandosi e precisandosi, da un lato con l’approvazione del Regolamento UE 2021/1119 del Parlamento europeo e del Consiglio, recante la Normativa europea sul clima, che ha codificato sul piano legislativo gli obiettivi europei di riduzione e poi azzeramento delle emissioni nette di anidride carbonica</w:t>
      </w:r>
      <w:r w:rsidR="00410E7F" w:rsidRPr="00410E7F">
        <w:rPr>
          <w:rFonts w:cs="Arial"/>
          <w:szCs w:val="22"/>
          <w:vertAlign w:val="superscript"/>
        </w:rPr>
        <w:t> </w:t>
      </w:r>
      <w:r w:rsidR="00410E7F" w:rsidRPr="00410E7F">
        <w:rPr>
          <w:rFonts w:cs="Arial"/>
          <w:szCs w:val="22"/>
          <w:vertAlign w:val="superscript"/>
        </w:rPr>
        <w:footnoteReference w:id="4"/>
      </w:r>
      <w:r w:rsidRPr="00977649">
        <w:rPr>
          <w:rFonts w:cs="Arial"/>
          <w:szCs w:val="22"/>
        </w:rPr>
        <w:t xml:space="preserve">; dall’altro, con la presentazione di un complesso e articolato Pacchetto di proposte normative – costituito anzitutto, ma non solo, dal c.d. </w:t>
      </w:r>
      <w:proofErr w:type="spellStart"/>
      <w:r w:rsidRPr="00977649">
        <w:rPr>
          <w:rFonts w:cs="Arial"/>
          <w:szCs w:val="22"/>
        </w:rPr>
        <w:t>Fit</w:t>
      </w:r>
      <w:proofErr w:type="spellEnd"/>
      <w:r w:rsidRPr="00977649">
        <w:rPr>
          <w:rFonts w:cs="Arial"/>
          <w:szCs w:val="22"/>
        </w:rPr>
        <w:t xml:space="preserve"> for 55, pubblicato nel luglio 2021</w:t>
      </w:r>
      <w:r w:rsidR="00410E7F" w:rsidRPr="00410E7F">
        <w:rPr>
          <w:rFonts w:cs="Arial"/>
          <w:szCs w:val="22"/>
          <w:vertAlign w:val="superscript"/>
        </w:rPr>
        <w:t> </w:t>
      </w:r>
      <w:r w:rsidR="00410E7F" w:rsidRPr="00410E7F">
        <w:rPr>
          <w:rFonts w:cs="Arial"/>
          <w:szCs w:val="22"/>
          <w:vertAlign w:val="superscript"/>
        </w:rPr>
        <w:footnoteReference w:id="5"/>
      </w:r>
      <w:r w:rsidRPr="00977649">
        <w:rPr>
          <w:rFonts w:cs="Arial"/>
          <w:szCs w:val="22"/>
        </w:rPr>
        <w:t xml:space="preserve"> –, che hanno specificato sia gli obiettivi più puntuali da realizzare sia gli strumenti da utilizzare nei diversi ambiti di intervento.</w:t>
      </w:r>
    </w:p>
    <w:p w14:paraId="65092D0A" w14:textId="38B6295F" w:rsidR="00AD1537" w:rsidRPr="00977649" w:rsidRDefault="00AD1537" w:rsidP="00977649">
      <w:pPr>
        <w:pStyle w:val="Capoverso"/>
        <w:rPr>
          <w:rFonts w:cs="Arial"/>
          <w:szCs w:val="22"/>
        </w:rPr>
      </w:pPr>
      <w:r w:rsidRPr="00977649">
        <w:rPr>
          <w:rFonts w:cs="Arial"/>
          <w:szCs w:val="22"/>
        </w:rPr>
        <w:t>In questi primi mesi del 2022, in cui sulle proposte della Commissione si è avviato il dibattito istituzionale con il Parlamento europeo e con il Consiglio, le stesse sono state fatte oggetto, oltre che di valutazioni positive, anche di critiche severe, sia da parte di chi ne ha contestato l’insufficiente radicalità e l’in</w:t>
      </w:r>
      <w:r w:rsidR="00FB31AB">
        <w:rPr>
          <w:rFonts w:cs="Arial"/>
          <w:szCs w:val="22"/>
        </w:rPr>
        <w:softHyphen/>
      </w:r>
      <w:r w:rsidRPr="00977649">
        <w:rPr>
          <w:rFonts w:cs="Arial"/>
          <w:szCs w:val="22"/>
        </w:rPr>
        <w:t xml:space="preserve">clinazione eccessivamente compromissoria, sia da chi, al contrario, ne ha lamentato la carica </w:t>
      </w:r>
      <w:r w:rsidR="00FB31AB">
        <w:rPr>
          <w:rFonts w:cs="Arial"/>
          <w:szCs w:val="22"/>
        </w:rPr>
        <w:t>“</w:t>
      </w:r>
      <w:r w:rsidRPr="00977649">
        <w:rPr>
          <w:rFonts w:cs="Arial"/>
          <w:szCs w:val="22"/>
        </w:rPr>
        <w:t>disruptive” rispetto ai settori produttivi più direttamente interessati</w:t>
      </w:r>
      <w:r w:rsidR="00410E7F" w:rsidRPr="00410E7F">
        <w:rPr>
          <w:rFonts w:cs="Arial"/>
          <w:szCs w:val="22"/>
          <w:vertAlign w:val="superscript"/>
        </w:rPr>
        <w:t> </w:t>
      </w:r>
      <w:r w:rsidR="00410E7F" w:rsidRPr="00410E7F">
        <w:rPr>
          <w:rFonts w:cs="Arial"/>
          <w:szCs w:val="22"/>
          <w:vertAlign w:val="superscript"/>
        </w:rPr>
        <w:footnoteReference w:id="6"/>
      </w:r>
      <w:r w:rsidRPr="00977649">
        <w:rPr>
          <w:rFonts w:cs="Arial"/>
          <w:szCs w:val="22"/>
        </w:rPr>
        <w:t>.</w:t>
      </w:r>
    </w:p>
    <w:p w14:paraId="2C11C02F" w14:textId="77777777" w:rsidR="00AD1537" w:rsidRPr="00977649" w:rsidRDefault="00AD1537" w:rsidP="00977649">
      <w:pPr>
        <w:pStyle w:val="Capoverso"/>
        <w:rPr>
          <w:rFonts w:cs="Arial"/>
          <w:szCs w:val="22"/>
        </w:rPr>
      </w:pPr>
      <w:r w:rsidRPr="00977649">
        <w:rPr>
          <w:rFonts w:cs="Arial"/>
          <w:szCs w:val="22"/>
        </w:rPr>
        <w:t>In questo contesto, l’emergenza determinata dalla guerra in Ucraina ha ovviamente acuito e reso più pressanti e drammatici i nodi problematici sottesi alle politiche di decarbonizzazione: non solo per l’ovvia rilevanza della questione energetica, notoriamente al centro di quelle politiche e ora fortemente condizionata dalle sanzioni comminate (anche) dai Paesi europei alla Russia e dalla reazione della stessa, ma anche perché il mutamento intervenuto nello scenario geo-politico ed economico complessivo ha – o rischia di avere – conseguenze importanti anche sul piano della concreta attuabilità della strategia definita dalla Commissione.</w:t>
      </w:r>
    </w:p>
    <w:p w14:paraId="4006A5F6" w14:textId="77777777" w:rsidR="00AD1537" w:rsidRPr="00977649" w:rsidRDefault="00AD1537" w:rsidP="00977649">
      <w:pPr>
        <w:pStyle w:val="Capoverso"/>
        <w:rPr>
          <w:rFonts w:cs="Arial"/>
          <w:szCs w:val="22"/>
        </w:rPr>
      </w:pPr>
      <w:r w:rsidRPr="00977649">
        <w:rPr>
          <w:rFonts w:cs="Arial"/>
          <w:szCs w:val="22"/>
        </w:rPr>
        <w:t>Critiche e richieste di modifica di quella strategia – in senso più o, viceversa, meno radicale – si sono quindi fatte più accese, tanto sul versante di coloro che ritengono prioritario reagire alla crisi ucraina e al rischio recessivo che essa comporta con politiche preordinate innanzitutto alla crescita (e non tanto alla sostenibilità della medesima), quanto su quello di chi all’opposto sostiene la necessità di un intervento più dirompente e strutturale e comunque meno gradualistico.</w:t>
      </w:r>
    </w:p>
    <w:p w14:paraId="5A19B4DE" w14:textId="3579AD68" w:rsidR="00AD1537" w:rsidRPr="00977649" w:rsidRDefault="00AD1537" w:rsidP="00977649">
      <w:pPr>
        <w:pStyle w:val="Capoverso"/>
        <w:rPr>
          <w:rFonts w:cs="Arial"/>
          <w:szCs w:val="22"/>
        </w:rPr>
      </w:pPr>
      <w:r w:rsidRPr="00977649">
        <w:rPr>
          <w:rFonts w:cs="Arial"/>
          <w:szCs w:val="22"/>
        </w:rPr>
        <w:t xml:space="preserve">Di fronte a queste critiche e richieste, e anche sotto la pressante esigenza di incanalare in un alveo comune la reazione degli Stati membri alle manifestazioni più immediate ed evidenti della crisi (a cominciare dall’innalzamento </w:t>
      </w:r>
      <w:r w:rsidRPr="00977649">
        <w:rPr>
          <w:rFonts w:cs="Arial"/>
          <w:szCs w:val="22"/>
        </w:rPr>
        <w:lastRenderedPageBreak/>
        <w:t>quasi incontrollato dei prezzi dell’energia), la Commissione europea ha scelto invece di confermare nella sostanza la sua linea di azione, solo disponendo l’accelerazione di alcune misure già previste – in particolare, di quelle inerenti allo sviluppo delle fonti rinnovabili di energia e all’efficientamento energetico –, e promuovendo la diversificazione delle fonti di approvvigionamento energetico per ridurre la dipendenza dalla Russia</w:t>
      </w:r>
      <w:r w:rsidR="00410E7F" w:rsidRPr="00410E7F">
        <w:rPr>
          <w:rFonts w:cs="Arial"/>
          <w:szCs w:val="22"/>
          <w:vertAlign w:val="superscript"/>
        </w:rPr>
        <w:t> </w:t>
      </w:r>
      <w:r w:rsidR="00410E7F" w:rsidRPr="00410E7F">
        <w:rPr>
          <w:rFonts w:cs="Arial"/>
          <w:szCs w:val="22"/>
          <w:vertAlign w:val="superscript"/>
        </w:rPr>
        <w:footnoteReference w:id="7"/>
      </w:r>
      <w:r w:rsidRPr="00977649">
        <w:rPr>
          <w:rFonts w:cs="Arial"/>
          <w:szCs w:val="22"/>
        </w:rPr>
        <w:t>.</w:t>
      </w:r>
    </w:p>
    <w:p w14:paraId="273C9512" w14:textId="489B430F" w:rsidR="00AD1537" w:rsidRPr="00977649" w:rsidRDefault="00AD1537" w:rsidP="00977649">
      <w:pPr>
        <w:pStyle w:val="Capoverso"/>
        <w:rPr>
          <w:rFonts w:cs="Arial"/>
          <w:szCs w:val="22"/>
        </w:rPr>
      </w:pPr>
      <w:r w:rsidRPr="00977649">
        <w:rPr>
          <w:rFonts w:cs="Arial"/>
          <w:szCs w:val="22"/>
        </w:rPr>
        <w:t>Anche rispetto alle modalità di intervento sui mercati più direttamente interessati dalla crisi, la Commissione, pur riconoscendo la legittimità in sé di misure autoritative sui prezzi e sui profitti degli operatori introdotte o ipotizzate da alcuni Stati</w:t>
      </w:r>
      <w:r w:rsidR="00410E7F" w:rsidRPr="00410E7F">
        <w:rPr>
          <w:rFonts w:cs="Arial"/>
          <w:szCs w:val="22"/>
          <w:vertAlign w:val="superscript"/>
        </w:rPr>
        <w:t> </w:t>
      </w:r>
      <w:r w:rsidR="00410E7F" w:rsidRPr="00410E7F">
        <w:rPr>
          <w:rFonts w:cs="Arial"/>
          <w:szCs w:val="22"/>
          <w:vertAlign w:val="superscript"/>
        </w:rPr>
        <w:footnoteReference w:id="8"/>
      </w:r>
      <w:r w:rsidRPr="00977649">
        <w:rPr>
          <w:rFonts w:cs="Arial"/>
          <w:szCs w:val="22"/>
        </w:rPr>
        <w:t>, ha peraltro riaffermato la scelta – chiaramente espressa nella Comunicazione sul Green Deal – di preservare spazi significativi per le dinamiche (e le politiche) concorrenziali, destinate ad essere affiancate ma non sostituite dalla nuova Green Industrial Policy</w:t>
      </w:r>
      <w:r w:rsidR="00410E7F" w:rsidRPr="00410E7F">
        <w:rPr>
          <w:rFonts w:cs="Arial"/>
          <w:szCs w:val="22"/>
          <w:vertAlign w:val="superscript"/>
        </w:rPr>
        <w:t> </w:t>
      </w:r>
      <w:r w:rsidR="00410E7F" w:rsidRPr="00410E7F">
        <w:rPr>
          <w:rFonts w:cs="Arial"/>
          <w:szCs w:val="22"/>
          <w:vertAlign w:val="superscript"/>
        </w:rPr>
        <w:footnoteReference w:id="9"/>
      </w:r>
      <w:r w:rsidRPr="00977649">
        <w:rPr>
          <w:rFonts w:cs="Arial"/>
          <w:szCs w:val="22"/>
        </w:rPr>
        <w:t>, e ha quindi prescritto il rispetto di regole e criteri finalizzati a non alterare eccessivamente quelle dinamiche</w:t>
      </w:r>
      <w:r w:rsidR="00410E7F" w:rsidRPr="00410E7F">
        <w:rPr>
          <w:rFonts w:cs="Arial"/>
          <w:szCs w:val="22"/>
          <w:vertAlign w:val="superscript"/>
        </w:rPr>
        <w:t> </w:t>
      </w:r>
      <w:r w:rsidR="00410E7F" w:rsidRPr="00410E7F">
        <w:rPr>
          <w:rFonts w:cs="Arial"/>
          <w:szCs w:val="22"/>
          <w:vertAlign w:val="superscript"/>
        </w:rPr>
        <w:footnoteReference w:id="10"/>
      </w:r>
      <w:r w:rsidRPr="00977649">
        <w:rPr>
          <w:rFonts w:cs="Arial"/>
          <w:szCs w:val="22"/>
        </w:rPr>
        <w:t>.</w:t>
      </w:r>
    </w:p>
    <w:p w14:paraId="5A2FA702" w14:textId="7E760145" w:rsidR="00AD1537" w:rsidRPr="00977649" w:rsidRDefault="00AD1537" w:rsidP="00977649">
      <w:pPr>
        <w:pStyle w:val="Capoverso"/>
        <w:rPr>
          <w:rFonts w:cs="Arial"/>
          <w:szCs w:val="22"/>
        </w:rPr>
      </w:pPr>
      <w:r w:rsidRPr="00977649">
        <w:rPr>
          <w:rFonts w:cs="Arial"/>
          <w:szCs w:val="22"/>
        </w:rPr>
        <w:t>Il confronto, nelle sedi istituzionali europee e nazionali e anche nell’o</w:t>
      </w:r>
      <w:r w:rsidR="00FB31AB">
        <w:rPr>
          <w:rFonts w:cs="Arial"/>
          <w:szCs w:val="22"/>
        </w:rPr>
        <w:softHyphen/>
      </w:r>
      <w:r w:rsidRPr="00977649">
        <w:rPr>
          <w:rFonts w:cs="Arial"/>
          <w:szCs w:val="22"/>
        </w:rPr>
        <w:t>pinio</w:t>
      </w:r>
      <w:r w:rsidR="00FB31AB">
        <w:rPr>
          <w:rFonts w:cs="Arial"/>
          <w:szCs w:val="22"/>
        </w:rPr>
        <w:softHyphen/>
      </w:r>
      <w:r w:rsidRPr="00977649">
        <w:rPr>
          <w:rFonts w:cs="Arial"/>
          <w:szCs w:val="22"/>
        </w:rPr>
        <w:t>ne pubblica, è ora in corso e riguarda essenzialmente la concreta definizione – oltre che l’apprezzabilità – delle misure specifiche proposte dalla Commissione: ma rimane importante riflettere sulle linee di fondo della strategia europea, sui suoi presupposti e le sue implicazioni di sistema, oltre che sulla sua realizzabilità anche alla luce delle novità di quest’ultimo periodo.</w:t>
      </w:r>
    </w:p>
    <w:p w14:paraId="7126DEE6" w14:textId="77777777" w:rsidR="00AD1537" w:rsidRPr="00FB31AB" w:rsidRDefault="00AD1537" w:rsidP="00977649">
      <w:pPr>
        <w:pStyle w:val="Capoverso"/>
        <w:rPr>
          <w:rFonts w:cs="Arial"/>
          <w:spacing w:val="2"/>
          <w:szCs w:val="22"/>
        </w:rPr>
      </w:pPr>
      <w:r w:rsidRPr="00FB31AB">
        <w:rPr>
          <w:rFonts w:cs="Arial"/>
          <w:spacing w:val="2"/>
          <w:szCs w:val="22"/>
        </w:rPr>
        <w:t>Le considerazioni che seguono rispondono essenzialmente a questa finalità.</w:t>
      </w:r>
    </w:p>
    <w:p w14:paraId="332BC543" w14:textId="4DC98D14" w:rsidR="00AD1537" w:rsidRPr="003F2621" w:rsidRDefault="003F2621" w:rsidP="003F2621">
      <w:pPr>
        <w:pStyle w:val="Paragrafo"/>
      </w:pPr>
      <w:r w:rsidRPr="003F2621">
        <w:t>2.</w:t>
      </w:r>
      <w:r w:rsidR="00615DEC">
        <w:tab/>
      </w:r>
      <w:r w:rsidR="00AD1537" w:rsidRPr="003F2621">
        <w:t>Una strategia di decarbonizzazione e un modello di disciplina dei mercati (parzialmente) nuovi</w:t>
      </w:r>
    </w:p>
    <w:p w14:paraId="313B5F9A" w14:textId="77777777" w:rsidR="00AD1537" w:rsidRPr="00977649" w:rsidRDefault="00AD1537" w:rsidP="00977649">
      <w:pPr>
        <w:pStyle w:val="Capoverso"/>
        <w:rPr>
          <w:rFonts w:cs="Arial"/>
          <w:szCs w:val="22"/>
        </w:rPr>
      </w:pPr>
      <w:r w:rsidRPr="00977649">
        <w:rPr>
          <w:rFonts w:cs="Arial"/>
          <w:szCs w:val="22"/>
        </w:rPr>
        <w:t>Come si è sopra rilevato, la linea di azione delineata dalla Commissione – già parzialmente approvata dal Parlamento europeo e dal Consiglio con il cita</w:t>
      </w:r>
      <w:r w:rsidRPr="00977649">
        <w:rPr>
          <w:rFonts w:cs="Arial"/>
          <w:szCs w:val="22"/>
        </w:rPr>
        <w:lastRenderedPageBreak/>
        <w:t>to Regolamento UE 2021/1119 – si muove all’interno del paradigma dello sviluppo sostenibile.</w:t>
      </w:r>
    </w:p>
    <w:p w14:paraId="4DCF5CA1" w14:textId="77777777" w:rsidR="00AD1537" w:rsidRPr="00977649" w:rsidRDefault="00AD1537" w:rsidP="00977649">
      <w:pPr>
        <w:pStyle w:val="Capoverso"/>
        <w:rPr>
          <w:rFonts w:cs="Arial"/>
          <w:szCs w:val="22"/>
        </w:rPr>
      </w:pPr>
      <w:r w:rsidRPr="00977649">
        <w:rPr>
          <w:rFonts w:cs="Arial"/>
          <w:szCs w:val="22"/>
        </w:rPr>
        <w:t>Né nella Comunicazione sul Green Deal europeo né nelle proposte normative successivamente presentate si rinviene l’intenzione di rinunciare ad obiettivi di crescita economica, o anche quella di abbandonare le politiche di concorrenza e la ricerca di condizioni istituzionali volte a promuovere larghi investimenti da parte del capitale privato. Al contrario, in tali atti si afferma esplicitamente che dinamiche competitive e investimenti privati continuano a rappresentare tasselli fondamentali non solo del modello di disciplina dei mercati accolto a livello europeo ma anche della strategia di decarbonizzazione seguita dalla Commissione.</w:t>
      </w:r>
    </w:p>
    <w:p w14:paraId="2721637B" w14:textId="021CD13F" w:rsidR="00AD1537" w:rsidRPr="00977649" w:rsidRDefault="00AD1537" w:rsidP="00977649">
      <w:pPr>
        <w:pStyle w:val="Capoverso"/>
        <w:rPr>
          <w:rFonts w:cs="Arial"/>
          <w:szCs w:val="22"/>
        </w:rPr>
      </w:pPr>
      <w:r w:rsidRPr="00977649">
        <w:rPr>
          <w:rFonts w:cs="Arial"/>
          <w:szCs w:val="22"/>
        </w:rPr>
        <w:t>Rispetto al passato anche recente e agli accordi raggiunti a livello internazionale</w:t>
      </w:r>
      <w:r w:rsidR="00410E7F" w:rsidRPr="00410E7F">
        <w:rPr>
          <w:rFonts w:cs="Arial"/>
          <w:szCs w:val="22"/>
          <w:vertAlign w:val="superscript"/>
        </w:rPr>
        <w:t> </w:t>
      </w:r>
      <w:r w:rsidR="00410E7F" w:rsidRPr="00410E7F">
        <w:rPr>
          <w:rFonts w:cs="Arial"/>
          <w:szCs w:val="22"/>
          <w:vertAlign w:val="superscript"/>
        </w:rPr>
        <w:footnoteReference w:id="11"/>
      </w:r>
      <w:r w:rsidRPr="00977649">
        <w:rPr>
          <w:rFonts w:cs="Arial"/>
          <w:szCs w:val="22"/>
        </w:rPr>
        <w:t>, non mancano peraltro, in tale strategia, novità rilevanti, che sembrano attenere in particolare a quattro profili fondamentali.</w:t>
      </w:r>
    </w:p>
    <w:p w14:paraId="46F23B1A" w14:textId="1661E64A" w:rsidR="00AD1537" w:rsidRPr="00977649" w:rsidRDefault="00AD1537" w:rsidP="00977649">
      <w:pPr>
        <w:pStyle w:val="Capoverso"/>
        <w:rPr>
          <w:rFonts w:cs="Arial"/>
          <w:szCs w:val="22"/>
        </w:rPr>
      </w:pPr>
      <w:r w:rsidRPr="00977649">
        <w:rPr>
          <w:rFonts w:cs="Arial"/>
          <w:szCs w:val="22"/>
        </w:rPr>
        <w:t>Innanzitutto, la Commissione mostra chiaramente di voler introdurre e attuare, insieme agli Stati membri, una Green Industrial Policy, una nuova politica industriale specificamente preordinata ad indirizzare in molti ambiti le scelte produttive e commerciali delle imprese, così da renderle coerenti con gli obiettivi di riduzione e poi di azzeramento delle emissioni fissati a livello europeo</w:t>
      </w:r>
      <w:r w:rsidR="00410E7F" w:rsidRPr="00410E7F">
        <w:rPr>
          <w:rFonts w:cs="Arial"/>
          <w:szCs w:val="22"/>
          <w:vertAlign w:val="superscript"/>
        </w:rPr>
        <w:t> </w:t>
      </w:r>
      <w:r w:rsidR="00410E7F" w:rsidRPr="00410E7F">
        <w:rPr>
          <w:rFonts w:cs="Arial"/>
          <w:szCs w:val="22"/>
          <w:vertAlign w:val="superscript"/>
        </w:rPr>
        <w:footnoteReference w:id="12"/>
      </w:r>
      <w:r w:rsidRPr="00977649">
        <w:rPr>
          <w:rFonts w:cs="Arial"/>
          <w:szCs w:val="22"/>
        </w:rPr>
        <w:t>.</w:t>
      </w:r>
    </w:p>
    <w:p w14:paraId="55D230FB" w14:textId="77777777" w:rsidR="00AD1537" w:rsidRPr="00977649" w:rsidRDefault="00AD1537" w:rsidP="00977649">
      <w:pPr>
        <w:pStyle w:val="Capoverso"/>
        <w:rPr>
          <w:rFonts w:cs="Arial"/>
          <w:szCs w:val="22"/>
        </w:rPr>
      </w:pPr>
      <w:r w:rsidRPr="00977649">
        <w:rPr>
          <w:rFonts w:cs="Arial"/>
          <w:szCs w:val="22"/>
        </w:rPr>
        <w:t xml:space="preserve">Come emerge anche dal Pacchetto </w:t>
      </w:r>
      <w:proofErr w:type="spellStart"/>
      <w:r w:rsidRPr="00977649">
        <w:rPr>
          <w:rFonts w:cs="Arial"/>
          <w:szCs w:val="22"/>
        </w:rPr>
        <w:t>Fit</w:t>
      </w:r>
      <w:proofErr w:type="spellEnd"/>
      <w:r w:rsidRPr="00977649">
        <w:rPr>
          <w:rFonts w:cs="Arial"/>
          <w:szCs w:val="22"/>
        </w:rPr>
        <w:t xml:space="preserve"> for 55 e dalle altre proposte normative della Commissione, tale politica industriale è destinata a tradursi in misure di incentivazione e di </w:t>
      </w:r>
      <w:proofErr w:type="spellStart"/>
      <w:r w:rsidRPr="00977649">
        <w:rPr>
          <w:rFonts w:cs="Arial"/>
          <w:i/>
          <w:szCs w:val="22"/>
        </w:rPr>
        <w:t>command</w:t>
      </w:r>
      <w:proofErr w:type="spellEnd"/>
      <w:r w:rsidRPr="00977649">
        <w:rPr>
          <w:rFonts w:cs="Arial"/>
          <w:i/>
          <w:szCs w:val="22"/>
        </w:rPr>
        <w:t xml:space="preserve"> and control</w:t>
      </w:r>
      <w:r w:rsidRPr="00977649">
        <w:rPr>
          <w:rFonts w:cs="Arial"/>
          <w:szCs w:val="22"/>
        </w:rPr>
        <w:t xml:space="preserve"> che, per quanto non includano forme di pianificazione autoritativa dell’attività delle imprese, sembrano implicare, negli ambiti individuati come strategici, un ruolo pubblico di guida e di regia complessiva dello sviluppo, ovviamente nei limiti in cui ciò risulta possibile nella dimensione europea.</w:t>
      </w:r>
    </w:p>
    <w:p w14:paraId="7BADF388" w14:textId="76FB7332" w:rsidR="00AD1537" w:rsidRPr="00977649" w:rsidRDefault="00AD1537" w:rsidP="00977649">
      <w:pPr>
        <w:pStyle w:val="Capoverso"/>
        <w:rPr>
          <w:rFonts w:cs="Arial"/>
          <w:szCs w:val="22"/>
        </w:rPr>
      </w:pPr>
      <w:r w:rsidRPr="00977649">
        <w:rPr>
          <w:rFonts w:cs="Arial"/>
          <w:szCs w:val="22"/>
        </w:rPr>
        <w:t>Libertà di iniziativa, meccanismi concorrenziali e rilievo del capitale privato non sono rinnegati: ma essi devono fare i conti con un ruolo più forte e finalizzato delle istituzioni pubbliche, che riduce innanzitutto significativamente lo spazio riservato all’auto-regolazione da parte dei mercati</w:t>
      </w:r>
      <w:r w:rsidR="00410E7F" w:rsidRPr="00410E7F">
        <w:rPr>
          <w:rFonts w:cs="Arial"/>
          <w:szCs w:val="22"/>
          <w:vertAlign w:val="superscript"/>
        </w:rPr>
        <w:t> </w:t>
      </w:r>
      <w:r w:rsidR="00410E7F" w:rsidRPr="00410E7F">
        <w:rPr>
          <w:rFonts w:cs="Arial"/>
          <w:szCs w:val="22"/>
          <w:vertAlign w:val="superscript"/>
        </w:rPr>
        <w:footnoteReference w:id="13"/>
      </w:r>
      <w:r w:rsidRPr="00977649">
        <w:rPr>
          <w:rFonts w:cs="Arial"/>
          <w:szCs w:val="22"/>
        </w:rPr>
        <w:t>.</w:t>
      </w:r>
    </w:p>
    <w:p w14:paraId="5B64AD41" w14:textId="6A4CB3F7" w:rsidR="00AD1537" w:rsidRPr="004C5130" w:rsidRDefault="00AD1537" w:rsidP="00977649">
      <w:pPr>
        <w:pStyle w:val="Capoverso"/>
        <w:rPr>
          <w:rFonts w:cs="Arial"/>
          <w:spacing w:val="2"/>
          <w:szCs w:val="22"/>
        </w:rPr>
      </w:pPr>
      <w:r w:rsidRPr="004C5130">
        <w:rPr>
          <w:rFonts w:cs="Arial"/>
          <w:spacing w:val="2"/>
          <w:szCs w:val="22"/>
        </w:rPr>
        <w:t>Accanto a questo cambiamento, e in stretta connessione con il medesimo, opera poi una seconda essenziale modifica, che concerne la rilevanza assegnata al valore della sostenibilità della crescita economica: che, come ormai da molti segnalato in dottrina</w:t>
      </w:r>
      <w:r w:rsidR="00410E7F" w:rsidRPr="004C5130">
        <w:rPr>
          <w:rFonts w:cs="Arial"/>
          <w:spacing w:val="2"/>
          <w:szCs w:val="22"/>
          <w:vertAlign w:val="superscript"/>
        </w:rPr>
        <w:t> </w:t>
      </w:r>
      <w:r w:rsidR="00410E7F" w:rsidRPr="004C5130">
        <w:rPr>
          <w:rFonts w:cs="Arial"/>
          <w:spacing w:val="2"/>
          <w:szCs w:val="22"/>
          <w:vertAlign w:val="superscript"/>
        </w:rPr>
        <w:footnoteReference w:id="14"/>
      </w:r>
      <w:r w:rsidRPr="004C5130">
        <w:rPr>
          <w:rFonts w:cs="Arial"/>
          <w:spacing w:val="2"/>
          <w:szCs w:val="22"/>
        </w:rPr>
        <w:t>, cessa di essere un limite meramente esterno delle politiche finalizzate alla crescita per divenire un elemento in</w:t>
      </w:r>
      <w:r w:rsidRPr="004C5130">
        <w:rPr>
          <w:rFonts w:cs="Arial"/>
          <w:spacing w:val="2"/>
          <w:szCs w:val="22"/>
        </w:rPr>
        <w:lastRenderedPageBreak/>
        <w:t xml:space="preserve">trinseco delle stesse, e che oggi viene espressamente qualificato anche come interesse pubblico </w:t>
      </w:r>
      <w:r w:rsidRPr="004C5130">
        <w:rPr>
          <w:rFonts w:cs="Arial"/>
          <w:i/>
          <w:spacing w:val="2"/>
          <w:szCs w:val="22"/>
        </w:rPr>
        <w:t>prevalente</w:t>
      </w:r>
      <w:r w:rsidRPr="004C5130">
        <w:rPr>
          <w:rFonts w:cs="Arial"/>
          <w:spacing w:val="2"/>
          <w:szCs w:val="22"/>
        </w:rPr>
        <w:t xml:space="preserve"> nella comparazione con gli altri interessi pubblici rilevanti</w:t>
      </w:r>
      <w:r w:rsidR="00410E7F" w:rsidRPr="004C5130">
        <w:rPr>
          <w:rFonts w:cs="Arial"/>
          <w:spacing w:val="2"/>
          <w:szCs w:val="22"/>
          <w:vertAlign w:val="superscript"/>
        </w:rPr>
        <w:t> </w:t>
      </w:r>
      <w:r w:rsidR="00410E7F" w:rsidRPr="004C5130">
        <w:rPr>
          <w:rFonts w:cs="Arial"/>
          <w:spacing w:val="2"/>
          <w:szCs w:val="22"/>
          <w:vertAlign w:val="superscript"/>
        </w:rPr>
        <w:footnoteReference w:id="15"/>
      </w:r>
      <w:r w:rsidRPr="004C5130">
        <w:rPr>
          <w:rFonts w:cs="Arial"/>
          <w:spacing w:val="2"/>
          <w:szCs w:val="22"/>
        </w:rPr>
        <w:t>.</w:t>
      </w:r>
    </w:p>
    <w:p w14:paraId="40577267" w14:textId="597EC591" w:rsidR="00AD1537" w:rsidRPr="00977649" w:rsidRDefault="00AD1537" w:rsidP="00977649">
      <w:pPr>
        <w:pStyle w:val="Capoverso"/>
        <w:rPr>
          <w:rFonts w:cs="Arial"/>
          <w:szCs w:val="22"/>
        </w:rPr>
      </w:pPr>
      <w:r w:rsidRPr="00977649">
        <w:rPr>
          <w:rFonts w:cs="Arial"/>
          <w:szCs w:val="22"/>
        </w:rPr>
        <w:t xml:space="preserve">La nuova centralità del criterio della sostenibilità, che del resto ha avuto in Italia e in altri Paesi europei significative ricadute anche sul piano </w:t>
      </w:r>
      <w:proofErr w:type="spellStart"/>
      <w:r w:rsidRPr="00977649">
        <w:rPr>
          <w:rFonts w:cs="Arial"/>
          <w:szCs w:val="22"/>
        </w:rPr>
        <w:t>organizzatorio</w:t>
      </w:r>
      <w:proofErr w:type="spellEnd"/>
      <w:r w:rsidR="00410E7F" w:rsidRPr="00410E7F">
        <w:rPr>
          <w:rFonts w:cs="Arial"/>
          <w:szCs w:val="22"/>
          <w:vertAlign w:val="superscript"/>
        </w:rPr>
        <w:t> </w:t>
      </w:r>
      <w:r w:rsidR="00410E7F" w:rsidRPr="00410E7F">
        <w:rPr>
          <w:rFonts w:cs="Arial"/>
          <w:szCs w:val="22"/>
          <w:vertAlign w:val="superscript"/>
        </w:rPr>
        <w:footnoteReference w:id="16"/>
      </w:r>
      <w:r w:rsidRPr="00977649">
        <w:rPr>
          <w:rFonts w:cs="Arial"/>
          <w:szCs w:val="22"/>
        </w:rPr>
        <w:t>, incide a sua volta sulla direzione e sul ritmo dello sviluppo, rispetto ai quali le dinamiche sempre più accelerate determinate dall’evoluzione tecnologica e dalla ricerca del profitto dovrebbero ora trovare un argine meno fragile nelle scelte pubbliche che su di esse possono variamente incidere.</w:t>
      </w:r>
    </w:p>
    <w:p w14:paraId="75CCA072" w14:textId="27460C56" w:rsidR="00AD1537" w:rsidRPr="00977649" w:rsidRDefault="00AD1537" w:rsidP="00977649">
      <w:pPr>
        <w:pStyle w:val="Capoverso"/>
        <w:rPr>
          <w:rFonts w:cs="Arial"/>
          <w:szCs w:val="22"/>
        </w:rPr>
      </w:pPr>
      <w:r w:rsidRPr="00977649">
        <w:rPr>
          <w:rFonts w:cs="Arial"/>
          <w:szCs w:val="22"/>
        </w:rPr>
        <w:t>Meritano poi di essere ricordati altri due profili, che pure segnano una discontinuità significativa rispetto al passato: il rafforzamento delle regole e degli incentivi finalizzati a promuovere il carattere circolare dell’economia, così da ridurre fortemente il consumo di risorse naturali e dunque l’impatto della crescita sull’ambiente</w:t>
      </w:r>
      <w:r w:rsidR="00410E7F" w:rsidRPr="00410E7F">
        <w:rPr>
          <w:rFonts w:cs="Arial"/>
          <w:szCs w:val="22"/>
          <w:vertAlign w:val="superscript"/>
        </w:rPr>
        <w:t> </w:t>
      </w:r>
      <w:r w:rsidR="00410E7F" w:rsidRPr="00410E7F">
        <w:rPr>
          <w:rFonts w:cs="Arial"/>
          <w:szCs w:val="22"/>
          <w:vertAlign w:val="superscript"/>
        </w:rPr>
        <w:footnoteReference w:id="17"/>
      </w:r>
      <w:r w:rsidRPr="00977649">
        <w:rPr>
          <w:rFonts w:cs="Arial"/>
          <w:szCs w:val="22"/>
        </w:rPr>
        <w:t>; e la creazione di Fondi pubblici diretti a sostenere sul piano sociale la transizione ecologica, garantendo la socializzazione almeno parziale dei costi che essa comporta e dunque evitando che gli stessi vengano scaricati interamente sulle imprese destinate alla chiusura o alla riconversione, sui loro dipendenti e sui territori in cui operano</w:t>
      </w:r>
      <w:r w:rsidR="00410E7F" w:rsidRPr="00410E7F">
        <w:rPr>
          <w:rFonts w:cs="Arial"/>
          <w:szCs w:val="22"/>
          <w:vertAlign w:val="superscript"/>
        </w:rPr>
        <w:t> </w:t>
      </w:r>
      <w:r w:rsidR="00410E7F" w:rsidRPr="00410E7F">
        <w:rPr>
          <w:rFonts w:cs="Arial"/>
          <w:szCs w:val="22"/>
          <w:vertAlign w:val="superscript"/>
        </w:rPr>
        <w:footnoteReference w:id="18"/>
      </w:r>
      <w:r w:rsidRPr="00977649">
        <w:rPr>
          <w:rFonts w:cs="Arial"/>
          <w:szCs w:val="22"/>
        </w:rPr>
        <w:t>.</w:t>
      </w:r>
    </w:p>
    <w:p w14:paraId="46343D1C" w14:textId="78728D11" w:rsidR="00AD1537" w:rsidRPr="00977649" w:rsidRDefault="00AD1537" w:rsidP="00977649">
      <w:pPr>
        <w:pStyle w:val="Capoverso"/>
        <w:rPr>
          <w:rFonts w:cs="Arial"/>
          <w:szCs w:val="22"/>
        </w:rPr>
      </w:pPr>
      <w:r w:rsidRPr="00977649">
        <w:rPr>
          <w:rFonts w:cs="Arial"/>
          <w:szCs w:val="22"/>
        </w:rPr>
        <w:t>Si tratta, in entrambi i casi, di scelte rilevanti, la cui reale incisività dipenderà ovviamente dalla consistenza delle misure che verranno in concreto definite per limitare, indirizzare e sostenere imprese e persone, ma che mostrano in ogni caso un cambiamento di impostazione rispetto alle politiche sin qui prevalentemente seguite a livello europeo: l’assunto della produzione e del consumo tendenzialmente illimitati di beni non viene messo radicalmente in discussione, ma, configurando come circolari quella produzione e quel consumo, si inizia a porre vincoli più seri al suo operare, e dunque alla distruzione di risorse naturali che esso comporta – il che del resto si salda con il rafforzamento degli interventi volti a difendere e a recuperare gli eco-sistemi</w:t>
      </w:r>
      <w:r w:rsidR="00410E7F" w:rsidRPr="00410E7F">
        <w:rPr>
          <w:rFonts w:cs="Arial"/>
          <w:szCs w:val="22"/>
          <w:vertAlign w:val="superscript"/>
        </w:rPr>
        <w:t> </w:t>
      </w:r>
      <w:r w:rsidR="00410E7F" w:rsidRPr="00410E7F">
        <w:rPr>
          <w:rFonts w:cs="Arial"/>
          <w:szCs w:val="22"/>
          <w:vertAlign w:val="superscript"/>
        </w:rPr>
        <w:footnoteReference w:id="19"/>
      </w:r>
      <w:r w:rsidRPr="00977649">
        <w:rPr>
          <w:rFonts w:cs="Arial"/>
          <w:szCs w:val="22"/>
        </w:rPr>
        <w:t>; il contrasto alle disuguaglianze alimentate negli ultimi decenni dal prevalere del modello liberista non diventa ancora una priorità politica, ma emerge chiaramente dagli atti della Commissione la volontà di utilizzare la transizione ecologica anche come un’opportunità e uno strumento per ridurle</w:t>
      </w:r>
      <w:r w:rsidR="00410E7F" w:rsidRPr="00410E7F">
        <w:rPr>
          <w:rFonts w:cs="Arial"/>
          <w:szCs w:val="22"/>
          <w:vertAlign w:val="superscript"/>
        </w:rPr>
        <w:t> </w:t>
      </w:r>
      <w:r w:rsidR="00410E7F" w:rsidRPr="00410E7F">
        <w:rPr>
          <w:rFonts w:cs="Arial"/>
          <w:szCs w:val="22"/>
          <w:vertAlign w:val="superscript"/>
        </w:rPr>
        <w:footnoteReference w:id="20"/>
      </w:r>
      <w:r w:rsidRPr="00977649">
        <w:rPr>
          <w:rFonts w:cs="Arial"/>
          <w:szCs w:val="22"/>
        </w:rPr>
        <w:t>.</w:t>
      </w:r>
    </w:p>
    <w:p w14:paraId="5D193336" w14:textId="394BC939" w:rsidR="00AD1537" w:rsidRPr="00977649" w:rsidRDefault="00AD1537" w:rsidP="00977649">
      <w:pPr>
        <w:pStyle w:val="Capoverso"/>
        <w:rPr>
          <w:rFonts w:cs="Arial"/>
          <w:szCs w:val="22"/>
        </w:rPr>
      </w:pPr>
      <w:r w:rsidRPr="00977649">
        <w:rPr>
          <w:rFonts w:cs="Arial"/>
          <w:szCs w:val="22"/>
        </w:rPr>
        <w:lastRenderedPageBreak/>
        <w:t>Considerate nel loro insieme, queste quattro novità – una nuova politica industriale volta a guidare in alcuni ambiti fondamentali direzione e ritmo dello sviluppo e a ridurre gli spazi di auto-regolazione del mercato; centralità ed anzi prevalenza dell’interesse alla decarbonizzazione; circolarità dell’economia; misure specificamente dirette a garantire la sostenibilità sociale della transizione ecologica – sembrano delineare un progetto di riforma economica e sociale, destinato a tradursi anche in un nuovo e diverso ordine giuridico del mercato</w:t>
      </w:r>
      <w:r w:rsidR="00410E7F" w:rsidRPr="00410E7F">
        <w:rPr>
          <w:rFonts w:cs="Arial"/>
          <w:szCs w:val="22"/>
          <w:vertAlign w:val="superscript"/>
        </w:rPr>
        <w:t> </w:t>
      </w:r>
      <w:r w:rsidR="00410E7F" w:rsidRPr="00410E7F">
        <w:rPr>
          <w:rFonts w:cs="Arial"/>
          <w:szCs w:val="22"/>
          <w:vertAlign w:val="superscript"/>
        </w:rPr>
        <w:footnoteReference w:id="21"/>
      </w:r>
      <w:r w:rsidRPr="00977649">
        <w:rPr>
          <w:rFonts w:cs="Arial"/>
          <w:szCs w:val="22"/>
        </w:rPr>
        <w:t>, che non può essere considerato irrilevante o marginale.</w:t>
      </w:r>
    </w:p>
    <w:p w14:paraId="2ACE88DE" w14:textId="705BE63F" w:rsidR="00AD1537" w:rsidRPr="00977649" w:rsidRDefault="00AD1537" w:rsidP="00977649">
      <w:pPr>
        <w:pStyle w:val="Capoverso"/>
        <w:rPr>
          <w:rFonts w:cs="Arial"/>
          <w:szCs w:val="22"/>
        </w:rPr>
      </w:pPr>
      <w:r w:rsidRPr="00977649">
        <w:rPr>
          <w:rFonts w:cs="Arial"/>
          <w:szCs w:val="22"/>
        </w:rPr>
        <w:t xml:space="preserve">Non c’è un abbandono chiaro e netto di alcune delle principali parole d’ordine che hanno guidato in questi ultimi decenni la disciplina dell’economia – </w:t>
      </w:r>
      <w:r w:rsidRPr="00977649">
        <w:rPr>
          <w:rFonts w:cs="Arial"/>
          <w:i/>
          <w:szCs w:val="22"/>
        </w:rPr>
        <w:t>in primis</w:t>
      </w:r>
      <w:r w:rsidRPr="00977649">
        <w:rPr>
          <w:rFonts w:cs="Arial"/>
          <w:szCs w:val="22"/>
        </w:rPr>
        <w:t>, i dogmi della massimizzazione del profitto e della crescita illimitata di produzioni e consumi – e che hanno largamente contribuito a determinare i costi e i conflitti sociali oggi evidenti, ma c’è un (ancora cauto) sforzo di muoversi in una direzione diversa, tornando finalmente a porre limiti e temperamenti alla logica, e al codice, del capitale</w:t>
      </w:r>
      <w:r w:rsidR="00410E7F" w:rsidRPr="00410E7F">
        <w:rPr>
          <w:rFonts w:cs="Arial"/>
          <w:szCs w:val="22"/>
          <w:vertAlign w:val="superscript"/>
        </w:rPr>
        <w:t> </w:t>
      </w:r>
      <w:r w:rsidR="00410E7F" w:rsidRPr="00410E7F">
        <w:rPr>
          <w:rFonts w:cs="Arial"/>
          <w:szCs w:val="22"/>
          <w:vertAlign w:val="superscript"/>
        </w:rPr>
        <w:footnoteReference w:id="22"/>
      </w:r>
      <w:r w:rsidRPr="00977649">
        <w:rPr>
          <w:rFonts w:cs="Arial"/>
          <w:szCs w:val="22"/>
        </w:rPr>
        <w:t xml:space="preserve"> – così come l’art. 3 del Trattato sull’Unione Europea e l’art. 41 della nostra Costituzione consentono e anzi impongono.</w:t>
      </w:r>
    </w:p>
    <w:p w14:paraId="506575DA" w14:textId="2B7F7B8A" w:rsidR="00AD1537" w:rsidRPr="00977649" w:rsidRDefault="00AD1537" w:rsidP="00977649">
      <w:pPr>
        <w:pStyle w:val="Capoverso"/>
        <w:rPr>
          <w:rFonts w:cs="Arial"/>
          <w:szCs w:val="22"/>
        </w:rPr>
      </w:pPr>
      <w:r w:rsidRPr="00977649">
        <w:rPr>
          <w:rFonts w:cs="Arial"/>
          <w:szCs w:val="22"/>
        </w:rPr>
        <w:t xml:space="preserve">Certo, tutto, di questo cambiamento, è ancora in discussione: le proposte normative della Commissione, e in particolare quelle – indispensabili – che hanno una portata più fortemente </w:t>
      </w:r>
      <w:r w:rsidRPr="00977649">
        <w:rPr>
          <w:rFonts w:cs="Arial"/>
          <w:i/>
          <w:szCs w:val="22"/>
        </w:rPr>
        <w:t>disruptive</w:t>
      </w:r>
      <w:r w:rsidR="00410E7F" w:rsidRPr="00410E7F">
        <w:rPr>
          <w:rFonts w:cs="Arial"/>
          <w:i/>
          <w:szCs w:val="22"/>
          <w:vertAlign w:val="superscript"/>
        </w:rPr>
        <w:t> </w:t>
      </w:r>
      <w:r w:rsidR="00410E7F" w:rsidRPr="00615DEC">
        <w:rPr>
          <w:rFonts w:cs="Arial"/>
          <w:iCs/>
          <w:szCs w:val="22"/>
          <w:vertAlign w:val="superscript"/>
        </w:rPr>
        <w:footnoteReference w:id="23"/>
      </w:r>
      <w:r w:rsidRPr="00615DEC">
        <w:rPr>
          <w:rFonts w:cs="Arial"/>
          <w:iCs/>
          <w:szCs w:val="22"/>
        </w:rPr>
        <w:t xml:space="preserve">, </w:t>
      </w:r>
      <w:r w:rsidRPr="00977649">
        <w:rPr>
          <w:rFonts w:cs="Arial"/>
          <w:szCs w:val="22"/>
        </w:rPr>
        <w:t>possono essere annacquate e ritardate, e le cronache quotidiane del dibattito istituzionale europeo e nazionale danno conto dell’asprezza del conflitto tra visioni e interessi differenti.</w:t>
      </w:r>
    </w:p>
    <w:p w14:paraId="5F6717CA" w14:textId="77777777" w:rsidR="00AD1537" w:rsidRPr="00977649" w:rsidRDefault="00AD1537" w:rsidP="00977649">
      <w:pPr>
        <w:pStyle w:val="Capoverso"/>
        <w:rPr>
          <w:rFonts w:cs="Arial"/>
          <w:szCs w:val="22"/>
        </w:rPr>
      </w:pPr>
      <w:r w:rsidRPr="00977649">
        <w:rPr>
          <w:rFonts w:cs="Arial"/>
          <w:szCs w:val="22"/>
        </w:rPr>
        <w:t>E, del resto, anche l’azione della Commissione, che è ovviamente condizionata dai difficili equilibri nel rapporto con gli Stati membri, risulta da diversi punti di vista non sufficientemente incisiva.</w:t>
      </w:r>
    </w:p>
    <w:p w14:paraId="11089A4B" w14:textId="730AB42B" w:rsidR="00AD1537" w:rsidRPr="00977649" w:rsidRDefault="00AD1537" w:rsidP="00977649">
      <w:pPr>
        <w:pStyle w:val="Capoverso"/>
        <w:rPr>
          <w:rFonts w:cs="Arial"/>
          <w:szCs w:val="22"/>
        </w:rPr>
      </w:pPr>
      <w:r w:rsidRPr="00977649">
        <w:rPr>
          <w:rFonts w:cs="Arial"/>
          <w:szCs w:val="22"/>
        </w:rPr>
        <w:t>Particolarmente emblematica è in questo senso la vicenda ben nota della c.d. tassonomia</w:t>
      </w:r>
      <w:r w:rsidR="00410E7F" w:rsidRPr="00410E7F">
        <w:rPr>
          <w:rFonts w:cs="Arial"/>
          <w:szCs w:val="22"/>
          <w:vertAlign w:val="superscript"/>
        </w:rPr>
        <w:t> </w:t>
      </w:r>
      <w:r w:rsidR="00410E7F" w:rsidRPr="00410E7F">
        <w:rPr>
          <w:rFonts w:cs="Arial"/>
          <w:szCs w:val="22"/>
          <w:vertAlign w:val="superscript"/>
        </w:rPr>
        <w:footnoteReference w:id="24"/>
      </w:r>
      <w:r w:rsidRPr="00977649">
        <w:rPr>
          <w:rFonts w:cs="Arial"/>
          <w:szCs w:val="22"/>
        </w:rPr>
        <w:t xml:space="preserve">: relativamente alla quale, non è il fatto in sé che la Commissione abbia scelto di seguire una linea di gradualità nell’attuazione delle misure di decarbonizzazione ad apparire criticabile. Anche di fronte all’incalzare sempre più evidente della crisi climatica e delle sue conseguenze, non si può dimenticare l’esigenza di garantire la sostenibilità sociale di questa grande e necessaria trasformazione, e dunque il fatto che tale sostenibilità dipende non </w:t>
      </w:r>
      <w:r w:rsidRPr="00977649">
        <w:rPr>
          <w:rFonts w:cs="Arial"/>
          <w:szCs w:val="22"/>
        </w:rPr>
        <w:lastRenderedPageBreak/>
        <w:t>soltanto dalla capienza dei Fondi pubblici di cui si è detto sopra ma anche dai tempi della sua attuazione</w:t>
      </w:r>
      <w:r w:rsidR="00410E7F" w:rsidRPr="00410E7F">
        <w:rPr>
          <w:rFonts w:cs="Arial"/>
          <w:szCs w:val="22"/>
          <w:vertAlign w:val="superscript"/>
        </w:rPr>
        <w:t> </w:t>
      </w:r>
      <w:r w:rsidR="00410E7F" w:rsidRPr="00410E7F">
        <w:rPr>
          <w:rFonts w:cs="Arial"/>
          <w:szCs w:val="22"/>
          <w:vertAlign w:val="superscript"/>
        </w:rPr>
        <w:footnoteReference w:id="25"/>
      </w:r>
      <w:r w:rsidRPr="00977649">
        <w:rPr>
          <w:rFonts w:cs="Arial"/>
          <w:szCs w:val="22"/>
        </w:rPr>
        <w:t>.</w:t>
      </w:r>
    </w:p>
    <w:p w14:paraId="1213F708" w14:textId="77777777" w:rsidR="00AD1537" w:rsidRPr="00977649" w:rsidRDefault="00AD1537" w:rsidP="00977649">
      <w:pPr>
        <w:pStyle w:val="Capoverso"/>
        <w:rPr>
          <w:rFonts w:cs="Arial"/>
          <w:szCs w:val="22"/>
        </w:rPr>
      </w:pPr>
      <w:r w:rsidRPr="00977649">
        <w:rPr>
          <w:rFonts w:cs="Arial"/>
          <w:szCs w:val="22"/>
        </w:rPr>
        <w:t>È il merito di talune delle scelte operate in questa prospettiva dalla Commissione a sembrare inadeguato, in particolare quando si tratta di decisioni che, come la promozione di investimenti nell’attuale tecnologia nucleare o in nuove infrastrutture del gas, possono assumere un contenuto parzialmente strutturale, con effetti suscettibili di permanere nel tempo, aldilà delle scadenze assegnate dalla stessa Commissione alla transizione ecologica.</w:t>
      </w:r>
    </w:p>
    <w:p w14:paraId="37653D80" w14:textId="483605E4" w:rsidR="00AD1537" w:rsidRPr="003F2621" w:rsidRDefault="003F2621" w:rsidP="003F2621">
      <w:pPr>
        <w:pStyle w:val="Paragrafo"/>
      </w:pPr>
      <w:r w:rsidRPr="003F2621">
        <w:t>3.</w:t>
      </w:r>
      <w:r w:rsidR="00615DEC">
        <w:tab/>
      </w:r>
      <w:r w:rsidR="00AD1537" w:rsidRPr="003F2621">
        <w:t>Ostacoli, dubbi e conferme</w:t>
      </w:r>
    </w:p>
    <w:p w14:paraId="41F5182A" w14:textId="206AE3BA" w:rsidR="00AD1537" w:rsidRPr="00977649" w:rsidRDefault="00AD1537" w:rsidP="00977649">
      <w:pPr>
        <w:pStyle w:val="Capoverso"/>
        <w:rPr>
          <w:rFonts w:cs="Arial"/>
          <w:szCs w:val="22"/>
        </w:rPr>
      </w:pPr>
      <w:r w:rsidRPr="00977649">
        <w:rPr>
          <w:rFonts w:cs="Arial"/>
          <w:szCs w:val="22"/>
        </w:rPr>
        <w:t>È oggettivamente difficile valutare se e quanto il disegno della Commissione che si è sopra richiamato nelle sue linee di fondo sia realisticamente attuabile e quanto sia credibile che esso possa effettivamente portare al conseguimento degli obiettivi fissati per il 2030 e per il 2050</w:t>
      </w:r>
      <w:r w:rsidR="00410E7F" w:rsidRPr="00410E7F">
        <w:rPr>
          <w:rFonts w:cs="Arial"/>
          <w:szCs w:val="22"/>
          <w:vertAlign w:val="superscript"/>
        </w:rPr>
        <w:t> </w:t>
      </w:r>
      <w:r w:rsidR="00410E7F" w:rsidRPr="00410E7F">
        <w:rPr>
          <w:rFonts w:cs="Arial"/>
          <w:szCs w:val="22"/>
          <w:vertAlign w:val="superscript"/>
        </w:rPr>
        <w:footnoteReference w:id="26"/>
      </w:r>
      <w:r w:rsidRPr="00977649">
        <w:rPr>
          <w:rFonts w:cs="Arial"/>
          <w:szCs w:val="22"/>
        </w:rPr>
        <w:t>.</w:t>
      </w:r>
    </w:p>
    <w:p w14:paraId="72ACD3BA" w14:textId="77777777" w:rsidR="00AD1537" w:rsidRPr="00977649" w:rsidRDefault="00AD1537" w:rsidP="00977649">
      <w:pPr>
        <w:pStyle w:val="Capoverso"/>
        <w:rPr>
          <w:rFonts w:cs="Arial"/>
          <w:szCs w:val="22"/>
        </w:rPr>
      </w:pPr>
      <w:r w:rsidRPr="00977649">
        <w:rPr>
          <w:rFonts w:cs="Arial"/>
          <w:szCs w:val="22"/>
        </w:rPr>
        <w:t>È certo che l’emergenza ucraina pone ad esso ostacoli ulteriori, che si aggiungono alle resistenze che Stati membri e interessi industriali e finanziari avrebbero comunque opposto alla sua attuazione.</w:t>
      </w:r>
    </w:p>
    <w:p w14:paraId="6B4389EB" w14:textId="77777777" w:rsidR="00AD1537" w:rsidRPr="00977649" w:rsidRDefault="00AD1537" w:rsidP="00977649">
      <w:pPr>
        <w:pStyle w:val="Capoverso"/>
        <w:rPr>
          <w:rFonts w:cs="Arial"/>
          <w:szCs w:val="22"/>
        </w:rPr>
      </w:pPr>
      <w:r w:rsidRPr="00977649">
        <w:rPr>
          <w:rFonts w:cs="Arial"/>
          <w:szCs w:val="22"/>
        </w:rPr>
        <w:t>Particolarmente evidenti appaiono in particolare due ostacoli, già chiaramente emersi dopo l’avvio della guerra.</w:t>
      </w:r>
    </w:p>
    <w:p w14:paraId="190EE63F" w14:textId="1912CE3F" w:rsidR="00AD1537" w:rsidRPr="00977649" w:rsidRDefault="00AD1537" w:rsidP="00977649">
      <w:pPr>
        <w:pStyle w:val="Capoverso"/>
        <w:rPr>
          <w:rFonts w:cs="Arial"/>
          <w:szCs w:val="22"/>
        </w:rPr>
      </w:pPr>
      <w:r w:rsidRPr="00977649">
        <w:rPr>
          <w:rFonts w:cs="Arial"/>
          <w:szCs w:val="22"/>
        </w:rPr>
        <w:t>Il primo è che l’esigenza di ridurre e poi eliminare la dipendenza energetica dalla Russia comporta non soltanto la riattivazione – o un uso più intenso – di impianti di generazione elettrica che utilizzano combustibili fossili particolarmente nocivi sul piano delle emissioni, come il carbone, ma anche la realizzazione di investimenti infrastrutturali per l’importazione di gas e petrolio da Paesi diversi dalla Russia e la stipula con essi di contratti di acquisto di durata inevitabilmente non breve</w:t>
      </w:r>
      <w:r w:rsidR="00410E7F" w:rsidRPr="00410E7F">
        <w:rPr>
          <w:rFonts w:cs="Arial"/>
          <w:szCs w:val="22"/>
          <w:vertAlign w:val="superscript"/>
        </w:rPr>
        <w:t> </w:t>
      </w:r>
      <w:r w:rsidR="00410E7F" w:rsidRPr="00410E7F">
        <w:rPr>
          <w:rFonts w:cs="Arial"/>
          <w:szCs w:val="22"/>
          <w:vertAlign w:val="superscript"/>
        </w:rPr>
        <w:footnoteReference w:id="27"/>
      </w:r>
      <w:r w:rsidRPr="00977649">
        <w:rPr>
          <w:rFonts w:cs="Arial"/>
          <w:szCs w:val="22"/>
        </w:rPr>
        <w:t>, con effetti sul bilancio emissivo che possono quindi essere anche di medio-lungo termine</w:t>
      </w:r>
      <w:r w:rsidR="00410E7F" w:rsidRPr="00410E7F">
        <w:rPr>
          <w:rFonts w:cs="Arial"/>
          <w:szCs w:val="22"/>
          <w:vertAlign w:val="superscript"/>
        </w:rPr>
        <w:t> </w:t>
      </w:r>
      <w:r w:rsidR="00410E7F" w:rsidRPr="00410E7F">
        <w:rPr>
          <w:rFonts w:cs="Arial"/>
          <w:szCs w:val="22"/>
          <w:vertAlign w:val="superscript"/>
        </w:rPr>
        <w:footnoteReference w:id="28"/>
      </w:r>
      <w:r w:rsidRPr="00977649">
        <w:rPr>
          <w:rFonts w:cs="Arial"/>
          <w:szCs w:val="22"/>
        </w:rPr>
        <w:t>.</w:t>
      </w:r>
    </w:p>
    <w:p w14:paraId="6BA3CBB0" w14:textId="78C31444" w:rsidR="00AD1537" w:rsidRPr="00977649" w:rsidRDefault="00AD1537" w:rsidP="00977649">
      <w:pPr>
        <w:pStyle w:val="Capoverso"/>
        <w:rPr>
          <w:rFonts w:cs="Arial"/>
          <w:szCs w:val="22"/>
        </w:rPr>
      </w:pPr>
      <w:r w:rsidRPr="00977649">
        <w:rPr>
          <w:rFonts w:cs="Arial"/>
          <w:szCs w:val="22"/>
        </w:rPr>
        <w:t>La seconda oggettiva maggiore difficoltà attiene alla effettiva disponibilità delle enormi risorse finanziarie, pubbliche e private, notoriamente necessarie per realizzare la transizione ecologica: nello scenario di recessione e di inflazione che in questo momento sembra delinearsi, quale propensione ad investimenti strutturali ed infrastrutturali potrà in particolare avere il capitale priva</w:t>
      </w:r>
      <w:r w:rsidRPr="00977649">
        <w:rPr>
          <w:rFonts w:cs="Arial"/>
          <w:szCs w:val="22"/>
        </w:rPr>
        <w:lastRenderedPageBreak/>
        <w:t>to, oltretutto nel contesto caratterizzato dagli interventi imperativi sui prezzi e sui profitti (o sui ricavi) che si sono in precedenza richiamati?</w:t>
      </w:r>
      <w:r w:rsidR="00410E7F" w:rsidRPr="00410E7F">
        <w:rPr>
          <w:rFonts w:cs="Arial"/>
          <w:szCs w:val="22"/>
          <w:vertAlign w:val="superscript"/>
        </w:rPr>
        <w:t> </w:t>
      </w:r>
      <w:r w:rsidR="00410E7F" w:rsidRPr="00410E7F">
        <w:rPr>
          <w:rFonts w:cs="Arial"/>
          <w:szCs w:val="22"/>
          <w:vertAlign w:val="superscript"/>
        </w:rPr>
        <w:footnoteReference w:id="29"/>
      </w:r>
    </w:p>
    <w:p w14:paraId="05C9FFC0" w14:textId="77777777" w:rsidR="00AD1537" w:rsidRPr="004C5130" w:rsidRDefault="00AD1537" w:rsidP="00977649">
      <w:pPr>
        <w:pStyle w:val="Capoverso"/>
        <w:rPr>
          <w:rFonts w:cs="Arial"/>
          <w:spacing w:val="-2"/>
          <w:szCs w:val="22"/>
        </w:rPr>
      </w:pPr>
      <w:r w:rsidRPr="004C5130">
        <w:rPr>
          <w:rFonts w:cs="Arial"/>
          <w:spacing w:val="-2"/>
          <w:szCs w:val="22"/>
        </w:rPr>
        <w:t>Anche alla luce di tali difficoltà, tornano a farsi forti le tentazioni e le richieste di interventi più radicali, che puntino almeno in parte su soluzioni di decrescita oppure su misure più schiettamente imperative, basate su pianificazioni e nazionalizzazioni e dunque su una più netta riduzione degli spazi di mercato.</w:t>
      </w:r>
    </w:p>
    <w:p w14:paraId="31650FF0" w14:textId="77777777" w:rsidR="00AD1537" w:rsidRPr="00977649" w:rsidRDefault="00AD1537" w:rsidP="00977649">
      <w:pPr>
        <w:pStyle w:val="Capoverso"/>
        <w:rPr>
          <w:rFonts w:cs="Arial"/>
          <w:szCs w:val="22"/>
        </w:rPr>
      </w:pPr>
      <w:r w:rsidRPr="00977649">
        <w:rPr>
          <w:rFonts w:cs="Arial"/>
          <w:szCs w:val="22"/>
        </w:rPr>
        <w:t>Su tali possibili soluzioni alternative è necessario essere chiari.</w:t>
      </w:r>
    </w:p>
    <w:p w14:paraId="0D2143F4" w14:textId="3DD48613" w:rsidR="00AD1537" w:rsidRPr="004C5130" w:rsidRDefault="00AD1537" w:rsidP="00977649">
      <w:pPr>
        <w:pStyle w:val="Capoverso"/>
        <w:rPr>
          <w:rFonts w:cs="Arial"/>
          <w:spacing w:val="2"/>
          <w:szCs w:val="22"/>
        </w:rPr>
      </w:pPr>
      <w:r w:rsidRPr="004C5130">
        <w:rPr>
          <w:rFonts w:cs="Arial"/>
          <w:spacing w:val="2"/>
          <w:szCs w:val="22"/>
        </w:rPr>
        <w:t>Per quanto attiene alla decrescita, è indubbio che il dogma dello sviluppo illimitato di produzione e consumo, con i suoi più o meno noti corollari sotto il profilo giuridico-istituzionale, andrebbe oggi superato e abbandonato: non solo per i costi ambientali e climatici che ha comportato e comporta, ma anche per l’impatto profondamente negativo che ha sul piano sociale, culturale e valoriale</w:t>
      </w:r>
      <w:r w:rsidR="00410E7F" w:rsidRPr="004C5130">
        <w:rPr>
          <w:rFonts w:cs="Arial"/>
          <w:spacing w:val="2"/>
          <w:szCs w:val="22"/>
          <w:vertAlign w:val="superscript"/>
        </w:rPr>
        <w:t> </w:t>
      </w:r>
      <w:r w:rsidR="00410E7F" w:rsidRPr="004C5130">
        <w:rPr>
          <w:rFonts w:cs="Arial"/>
          <w:spacing w:val="2"/>
          <w:szCs w:val="22"/>
          <w:vertAlign w:val="superscript"/>
        </w:rPr>
        <w:footnoteReference w:id="30"/>
      </w:r>
      <w:r w:rsidRPr="004C5130">
        <w:rPr>
          <w:rFonts w:cs="Arial"/>
          <w:spacing w:val="2"/>
          <w:szCs w:val="22"/>
        </w:rPr>
        <w:t>.</w:t>
      </w:r>
    </w:p>
    <w:p w14:paraId="5038B258" w14:textId="0BC3722E" w:rsidR="00AD1537" w:rsidRPr="00977649" w:rsidRDefault="00AD1537" w:rsidP="00977649">
      <w:pPr>
        <w:pStyle w:val="Capoverso"/>
        <w:rPr>
          <w:rFonts w:cs="Arial"/>
          <w:szCs w:val="22"/>
        </w:rPr>
      </w:pPr>
      <w:r w:rsidRPr="00977649">
        <w:rPr>
          <w:rFonts w:cs="Arial"/>
          <w:szCs w:val="22"/>
        </w:rPr>
        <w:t>Non sembra, peraltro, che questo possa rendere auspicabili politiche e misure europee o nazionali che, allo scopo di contrastare il cambiamento climatico, rinuncino deliberatamente a garantire il mantenimento dei livelli attuali di benessere economico. Povertà diffuse e disuguaglianze crescenti richiedono certamente interventi redistributivi assai più credibili e incisivi</w:t>
      </w:r>
      <w:r w:rsidR="00410E7F" w:rsidRPr="00410E7F">
        <w:rPr>
          <w:rFonts w:cs="Arial"/>
          <w:szCs w:val="22"/>
          <w:vertAlign w:val="superscript"/>
        </w:rPr>
        <w:t> </w:t>
      </w:r>
      <w:r w:rsidR="00410E7F" w:rsidRPr="00410E7F">
        <w:rPr>
          <w:rFonts w:cs="Arial"/>
          <w:szCs w:val="22"/>
          <w:vertAlign w:val="superscript"/>
        </w:rPr>
        <w:footnoteReference w:id="31"/>
      </w:r>
      <w:r w:rsidRPr="00977649">
        <w:rPr>
          <w:rFonts w:cs="Arial"/>
          <w:szCs w:val="22"/>
        </w:rPr>
        <w:t>, ma non consentono di accantonare le politiche orientate alla crescita, sia pure sostenibile.</w:t>
      </w:r>
    </w:p>
    <w:p w14:paraId="2A1EB77B" w14:textId="31AB3C8C" w:rsidR="00AD1537" w:rsidRPr="00977649" w:rsidRDefault="00AD1537" w:rsidP="00977649">
      <w:pPr>
        <w:pStyle w:val="Capoverso"/>
        <w:rPr>
          <w:rFonts w:cs="Arial"/>
          <w:szCs w:val="22"/>
        </w:rPr>
      </w:pPr>
      <w:r w:rsidRPr="00977649">
        <w:rPr>
          <w:rFonts w:cs="Arial"/>
          <w:szCs w:val="22"/>
        </w:rPr>
        <w:t xml:space="preserve">Considerazioni in parte analoghe valgono per le proposte di re-introdurre vere e proprie programmazioni autoritative delle attività delle imprese e di </w:t>
      </w:r>
      <w:proofErr w:type="spellStart"/>
      <w:r w:rsidRPr="00977649">
        <w:rPr>
          <w:rFonts w:cs="Arial"/>
          <w:szCs w:val="22"/>
        </w:rPr>
        <w:t>ri</w:t>
      </w:r>
      <w:proofErr w:type="spellEnd"/>
      <w:r w:rsidRPr="00977649">
        <w:rPr>
          <w:rFonts w:cs="Arial"/>
          <w:szCs w:val="22"/>
        </w:rPr>
        <w:t>-espandere il ruolo delle imprese pubbliche. Anche qui deve innanzitutto rilevarsi che l’esigenza di mettere in discussione e superare alcuni persistenti capisaldi del modello liberista a lungo prevalente nei decenni scorsi appare evidente: e tra questi rientra anche la pregiudiziale ostilità nei confronti delle imprese pubbliche</w:t>
      </w:r>
      <w:r w:rsidR="00410E7F" w:rsidRPr="00410E7F">
        <w:rPr>
          <w:rFonts w:cs="Arial"/>
          <w:szCs w:val="22"/>
          <w:vertAlign w:val="superscript"/>
        </w:rPr>
        <w:t> </w:t>
      </w:r>
      <w:r w:rsidR="00410E7F" w:rsidRPr="00410E7F">
        <w:rPr>
          <w:rFonts w:cs="Arial"/>
          <w:szCs w:val="22"/>
          <w:vertAlign w:val="superscript"/>
        </w:rPr>
        <w:footnoteReference w:id="32"/>
      </w:r>
      <w:r w:rsidRPr="00977649">
        <w:rPr>
          <w:rFonts w:cs="Arial"/>
          <w:szCs w:val="22"/>
        </w:rPr>
        <w:t>.</w:t>
      </w:r>
    </w:p>
    <w:p w14:paraId="7771B788" w14:textId="18DE422A" w:rsidR="00AD1537" w:rsidRPr="00977649" w:rsidRDefault="00AD1537" w:rsidP="00977649">
      <w:pPr>
        <w:pStyle w:val="Capoverso"/>
        <w:rPr>
          <w:rFonts w:cs="Arial"/>
          <w:szCs w:val="22"/>
        </w:rPr>
      </w:pPr>
      <w:r w:rsidRPr="00977649">
        <w:rPr>
          <w:rFonts w:cs="Arial"/>
          <w:szCs w:val="22"/>
        </w:rPr>
        <w:t>Non sembra peraltro che tale esigenza, e anche quella – molto forte – di introdurre una robusta regolazione pubblicistica di poteri privati cresciuti nell’ombra del mito dell’auto-regolazione dei mercati e oggi in grado di condizionare fortemente le politiche pubbliche</w:t>
      </w:r>
      <w:r w:rsidR="00410E7F" w:rsidRPr="00410E7F">
        <w:rPr>
          <w:rFonts w:cs="Arial"/>
          <w:szCs w:val="22"/>
          <w:vertAlign w:val="superscript"/>
        </w:rPr>
        <w:t> </w:t>
      </w:r>
      <w:r w:rsidR="00410E7F" w:rsidRPr="00410E7F">
        <w:rPr>
          <w:rFonts w:cs="Arial"/>
          <w:szCs w:val="22"/>
          <w:vertAlign w:val="superscript"/>
        </w:rPr>
        <w:footnoteReference w:id="33"/>
      </w:r>
      <w:r w:rsidRPr="00977649">
        <w:rPr>
          <w:rFonts w:cs="Arial"/>
          <w:szCs w:val="22"/>
        </w:rPr>
        <w:t>, possano giustificare il ritorno inte</w:t>
      </w:r>
      <w:r w:rsidRPr="00977649">
        <w:rPr>
          <w:rFonts w:cs="Arial"/>
          <w:szCs w:val="22"/>
        </w:rPr>
        <w:lastRenderedPageBreak/>
        <w:t xml:space="preserve">grale ai modelli di disciplina dei mercati dominanti in Italia e in larga parte dell’Europa prima della stagione delle liberalizzazioni e delle privatizzazioni degli anni </w:t>
      </w:r>
      <w:r w:rsidR="004C5130" w:rsidRPr="00977649">
        <w:rPr>
          <w:rFonts w:cs="Arial"/>
          <w:szCs w:val="22"/>
        </w:rPr>
        <w:t>’</w:t>
      </w:r>
      <w:r w:rsidRPr="00977649">
        <w:rPr>
          <w:rFonts w:cs="Arial"/>
          <w:szCs w:val="22"/>
        </w:rPr>
        <w:t xml:space="preserve">90 del Novecento. I difetti di quei modelli di disciplina sul piano dell’efficienza allocativa e della trasparenza, stabilità e adeguatezza tecnica delle scelte di policy e di regolazione sono troppo noti perché la soluzione di </w:t>
      </w:r>
      <w:r w:rsidRPr="00977649">
        <w:rPr>
          <w:rFonts w:cs="Arial"/>
          <w:i/>
          <w:szCs w:val="22"/>
        </w:rPr>
        <w:t>non</w:t>
      </w:r>
      <w:r w:rsidRPr="00977649">
        <w:rPr>
          <w:rFonts w:cs="Arial"/>
          <w:szCs w:val="22"/>
        </w:rPr>
        <w:t xml:space="preserve"> mantenere uno spazio significativo, accanto alla nuova politica industriale, a dinamiche di mercato e dunque a politiche di concorrenza e regolazioni tecnico-economiche possa apparire desiderabile</w:t>
      </w:r>
      <w:r w:rsidR="00410E7F" w:rsidRPr="00410E7F">
        <w:rPr>
          <w:rFonts w:cs="Arial"/>
          <w:szCs w:val="22"/>
          <w:vertAlign w:val="superscript"/>
        </w:rPr>
        <w:t> </w:t>
      </w:r>
      <w:r w:rsidR="00410E7F" w:rsidRPr="00410E7F">
        <w:rPr>
          <w:rFonts w:cs="Arial"/>
          <w:szCs w:val="22"/>
          <w:vertAlign w:val="superscript"/>
        </w:rPr>
        <w:footnoteReference w:id="34"/>
      </w:r>
      <w:r w:rsidRPr="00977649">
        <w:rPr>
          <w:rFonts w:cs="Arial"/>
          <w:szCs w:val="22"/>
        </w:rPr>
        <w:t>.</w:t>
      </w:r>
    </w:p>
    <w:p w14:paraId="609AD20B" w14:textId="77777777" w:rsidR="00AD1537" w:rsidRPr="004C5130" w:rsidRDefault="00AD1537" w:rsidP="00977649">
      <w:pPr>
        <w:pStyle w:val="Capoverso"/>
        <w:rPr>
          <w:rFonts w:cs="Arial"/>
          <w:spacing w:val="-2"/>
          <w:szCs w:val="22"/>
        </w:rPr>
      </w:pPr>
      <w:r w:rsidRPr="004C5130">
        <w:rPr>
          <w:rFonts w:cs="Arial"/>
          <w:spacing w:val="-2"/>
          <w:szCs w:val="22"/>
        </w:rPr>
        <w:t>Il tentativo della Commissione di conciliare decarbonizzazione e crescita, politica industriale e mercato, sembra in definitiva sostanzialmente condivisibile.</w:t>
      </w:r>
    </w:p>
    <w:p w14:paraId="2E78D0BB" w14:textId="77777777" w:rsidR="00AD1537" w:rsidRPr="00977649" w:rsidRDefault="00AD1537" w:rsidP="00977649">
      <w:pPr>
        <w:pStyle w:val="Capoverso"/>
        <w:rPr>
          <w:rFonts w:cs="Arial"/>
          <w:szCs w:val="22"/>
        </w:rPr>
      </w:pPr>
      <w:r w:rsidRPr="00977649">
        <w:rPr>
          <w:rFonts w:cs="Arial"/>
          <w:szCs w:val="22"/>
        </w:rPr>
        <w:t>E gli ostacoli che si sono in precedenza richiamati, che pure indubbiamente aggravano un quadro di difficoltà già di per sé notevole, non appaiono in realtà insuperabili.</w:t>
      </w:r>
    </w:p>
    <w:p w14:paraId="6BEC5C84" w14:textId="6033359D" w:rsidR="00AD1537" w:rsidRPr="00977649" w:rsidRDefault="00AD1537" w:rsidP="00977649">
      <w:pPr>
        <w:pStyle w:val="Capoverso"/>
        <w:rPr>
          <w:rFonts w:cs="Arial"/>
          <w:szCs w:val="22"/>
        </w:rPr>
      </w:pPr>
      <w:r w:rsidRPr="00977649">
        <w:rPr>
          <w:rFonts w:cs="Arial"/>
          <w:szCs w:val="22"/>
        </w:rPr>
        <w:t>Includere nel programma anche temporale della transizione ecologica il ritardo derivante dalla necessità di utilizzare per un periodo più lungo di quello inizialmente ipotizzato impianti emissivi – come quelli a carbone, a olio o a gas – non sembra, aldilà delle visioni più marcatamente catastrofiche, impossibile. Si tratta di contenere al massimo il danno, anche evitando gli investimenti che possano produrre effetti di più lungo termine sul bilancio emissivo, e di contro-bilanciarlo accelerando – come, in effetti, in parte prescritto dalla Commissione</w:t>
      </w:r>
      <w:r w:rsidR="00410E7F" w:rsidRPr="00410E7F">
        <w:rPr>
          <w:rFonts w:cs="Arial"/>
          <w:szCs w:val="22"/>
          <w:vertAlign w:val="superscript"/>
        </w:rPr>
        <w:t> </w:t>
      </w:r>
      <w:r w:rsidR="00410E7F" w:rsidRPr="00410E7F">
        <w:rPr>
          <w:rFonts w:cs="Arial"/>
          <w:szCs w:val="22"/>
          <w:vertAlign w:val="superscript"/>
        </w:rPr>
        <w:footnoteReference w:id="35"/>
      </w:r>
      <w:r w:rsidRPr="00977649">
        <w:rPr>
          <w:rFonts w:cs="Arial"/>
          <w:szCs w:val="22"/>
        </w:rPr>
        <w:t xml:space="preserve"> – gli investimenti virtuosi in fonti rinnovabili di energia, efficientamento energetico, </w:t>
      </w:r>
      <w:proofErr w:type="spellStart"/>
      <w:r w:rsidRPr="00977649">
        <w:rPr>
          <w:rFonts w:cs="Arial"/>
          <w:szCs w:val="22"/>
        </w:rPr>
        <w:t>circolarizzazione</w:t>
      </w:r>
      <w:proofErr w:type="spellEnd"/>
      <w:r w:rsidRPr="00977649">
        <w:rPr>
          <w:rFonts w:cs="Arial"/>
          <w:szCs w:val="22"/>
        </w:rPr>
        <w:t xml:space="preserve"> dell’economia, rafforzamento degli eco-sistemi e ricerca tecnologica</w:t>
      </w:r>
      <w:r w:rsidR="00410E7F" w:rsidRPr="00410E7F">
        <w:rPr>
          <w:rFonts w:cs="Arial"/>
          <w:szCs w:val="22"/>
          <w:vertAlign w:val="superscript"/>
        </w:rPr>
        <w:t> </w:t>
      </w:r>
      <w:r w:rsidR="00410E7F" w:rsidRPr="00410E7F">
        <w:rPr>
          <w:rFonts w:cs="Arial"/>
          <w:szCs w:val="22"/>
          <w:vertAlign w:val="superscript"/>
        </w:rPr>
        <w:footnoteReference w:id="36"/>
      </w:r>
      <w:r w:rsidRPr="00977649">
        <w:rPr>
          <w:rFonts w:cs="Arial"/>
          <w:szCs w:val="22"/>
        </w:rPr>
        <w:t>.</w:t>
      </w:r>
    </w:p>
    <w:p w14:paraId="65A611D6" w14:textId="219D07B9" w:rsidR="00AD1537" w:rsidRPr="00977649" w:rsidRDefault="00AD1537" w:rsidP="00977649">
      <w:pPr>
        <w:pStyle w:val="Capoverso"/>
        <w:rPr>
          <w:rFonts w:cs="Arial"/>
          <w:szCs w:val="22"/>
        </w:rPr>
      </w:pPr>
      <w:r w:rsidRPr="00977649">
        <w:rPr>
          <w:rFonts w:cs="Arial"/>
          <w:szCs w:val="22"/>
        </w:rPr>
        <w:t xml:space="preserve">D’altra parte, per quanto concerne la disponibilità del capitale privato a contribuire – in aggiunta ai capitali pubblici, europei e nazionali – agli investimenti necessari per realizzare la transizione, va rilevato che, come la Commissione europea ha sottolineato nel già ricordato </w:t>
      </w:r>
      <w:proofErr w:type="spellStart"/>
      <w:r w:rsidRPr="00977649">
        <w:rPr>
          <w:rFonts w:cs="Arial"/>
          <w:szCs w:val="22"/>
        </w:rPr>
        <w:t>REPower</w:t>
      </w:r>
      <w:proofErr w:type="spellEnd"/>
      <w:r w:rsidRPr="00977649">
        <w:rPr>
          <w:rFonts w:cs="Arial"/>
          <w:szCs w:val="22"/>
        </w:rPr>
        <w:t xml:space="preserve"> EU del marzo di que</w:t>
      </w:r>
      <w:r w:rsidR="004C5130">
        <w:rPr>
          <w:rFonts w:cs="Arial"/>
          <w:szCs w:val="22"/>
        </w:rPr>
        <w:softHyphen/>
      </w:r>
      <w:r w:rsidRPr="00977649">
        <w:rPr>
          <w:rFonts w:cs="Arial"/>
          <w:szCs w:val="22"/>
        </w:rPr>
        <w:t>st’anno, ciò che è essenziale a tal fine è che gli interventi pubblici destinati ad incidere sulla redditività degli stessi, vale a dire innanzitutto le misure di regolazione dei prezzi</w:t>
      </w:r>
      <w:r w:rsidR="00410E7F" w:rsidRPr="00410E7F">
        <w:rPr>
          <w:rFonts w:cs="Arial"/>
          <w:szCs w:val="22"/>
          <w:vertAlign w:val="superscript"/>
        </w:rPr>
        <w:t> </w:t>
      </w:r>
      <w:r w:rsidR="00410E7F" w:rsidRPr="00410E7F">
        <w:rPr>
          <w:rFonts w:cs="Arial"/>
          <w:szCs w:val="22"/>
          <w:vertAlign w:val="superscript"/>
        </w:rPr>
        <w:footnoteReference w:id="37"/>
      </w:r>
      <w:r w:rsidRPr="00977649">
        <w:rPr>
          <w:rFonts w:cs="Arial"/>
          <w:szCs w:val="22"/>
        </w:rPr>
        <w:t xml:space="preserve"> e di prelievo straordinario sui profitti, non siano arbitrari e siano invece basati su criteri attenti alle compatibilità economiche di operatori ed investitori</w:t>
      </w:r>
      <w:r w:rsidR="00410E7F" w:rsidRPr="00410E7F">
        <w:rPr>
          <w:rFonts w:cs="Arial"/>
          <w:szCs w:val="22"/>
          <w:vertAlign w:val="superscript"/>
        </w:rPr>
        <w:t> </w:t>
      </w:r>
      <w:r w:rsidR="00410E7F" w:rsidRPr="00410E7F">
        <w:rPr>
          <w:rFonts w:cs="Arial"/>
          <w:szCs w:val="22"/>
          <w:vertAlign w:val="superscript"/>
        </w:rPr>
        <w:footnoteReference w:id="38"/>
      </w:r>
      <w:r w:rsidRPr="00977649">
        <w:rPr>
          <w:rFonts w:cs="Arial"/>
          <w:szCs w:val="22"/>
        </w:rPr>
        <w:t>.</w:t>
      </w:r>
    </w:p>
    <w:p w14:paraId="2F072F83" w14:textId="77777777" w:rsidR="00AD1537" w:rsidRPr="00977649" w:rsidRDefault="00AD1537" w:rsidP="00977649">
      <w:pPr>
        <w:pStyle w:val="Capoverso"/>
        <w:rPr>
          <w:rFonts w:cs="Arial"/>
          <w:szCs w:val="22"/>
        </w:rPr>
      </w:pPr>
      <w:r w:rsidRPr="00977649">
        <w:rPr>
          <w:rFonts w:cs="Arial"/>
          <w:szCs w:val="22"/>
        </w:rPr>
        <w:t xml:space="preserve">Prescindendo qui dagli scenari più pessimistici di forte e prolungata recessione e/o inflazione, anche nell’attuale contesto di emergenza, e anche nella prospettiva della profonda trasformazione degli assetti produttivi, infrastrutturali e commerciali che dovrebbe discendere dalla transizione ecologica, la prevedibilità della regolazione dei mercati, la sua adeguatezza e coerenza </w:t>
      </w:r>
      <w:r w:rsidRPr="00977649">
        <w:rPr>
          <w:rFonts w:cs="Arial"/>
          <w:szCs w:val="22"/>
        </w:rPr>
        <w:lastRenderedPageBreak/>
        <w:t xml:space="preserve">tecnico-economica e la sua non </w:t>
      </w:r>
      <w:proofErr w:type="spellStart"/>
      <w:r w:rsidRPr="00977649">
        <w:rPr>
          <w:rFonts w:cs="Arial"/>
          <w:szCs w:val="22"/>
        </w:rPr>
        <w:t>discriminatorietà</w:t>
      </w:r>
      <w:proofErr w:type="spellEnd"/>
      <w:r w:rsidRPr="00977649">
        <w:rPr>
          <w:rFonts w:cs="Arial"/>
          <w:szCs w:val="22"/>
        </w:rPr>
        <w:t xml:space="preserve"> e non arbitrarietà continueranno ad essere determinanti rispetto alla propensione degli operatori ad investire.</w:t>
      </w:r>
    </w:p>
    <w:p w14:paraId="41B6763A" w14:textId="77777777" w:rsidR="00AD1537" w:rsidRPr="00977649" w:rsidRDefault="00AD1537" w:rsidP="00977649">
      <w:pPr>
        <w:pStyle w:val="Capoverso"/>
        <w:rPr>
          <w:rFonts w:cs="Arial"/>
          <w:szCs w:val="22"/>
        </w:rPr>
      </w:pPr>
      <w:r w:rsidRPr="00977649">
        <w:rPr>
          <w:rFonts w:cs="Arial"/>
          <w:szCs w:val="22"/>
        </w:rPr>
        <w:t xml:space="preserve">Se il nuovo ordine giuridico del mercato, pur </w:t>
      </w:r>
      <w:proofErr w:type="spellStart"/>
      <w:r w:rsidRPr="00977649">
        <w:rPr>
          <w:rFonts w:cs="Arial"/>
          <w:szCs w:val="22"/>
        </w:rPr>
        <w:t>pubblicisticamente</w:t>
      </w:r>
      <w:proofErr w:type="spellEnd"/>
      <w:r w:rsidRPr="00977649">
        <w:rPr>
          <w:rFonts w:cs="Arial"/>
          <w:szCs w:val="22"/>
        </w:rPr>
        <w:t xml:space="preserve"> orientato al conseguimento degli obiettivi di decarbonizzazione e delle altre finalità di interesse generale definite in sede politica, riuscirà a garantire tali elementi di certezza, appare ragionevole ritenere che il capitale privato sarà disponibile a svolgere nella transizione il ruolo che le istituzioni europee si attendono.</w:t>
      </w:r>
    </w:p>
    <w:p w14:paraId="0FE26D69" w14:textId="574F026D" w:rsidR="00AD1537" w:rsidRPr="00977649" w:rsidRDefault="00AD1537" w:rsidP="00977649">
      <w:pPr>
        <w:pStyle w:val="Capoverso"/>
        <w:rPr>
          <w:rFonts w:cs="Arial"/>
          <w:szCs w:val="22"/>
        </w:rPr>
      </w:pPr>
      <w:r w:rsidRPr="00977649">
        <w:rPr>
          <w:rFonts w:cs="Arial"/>
          <w:szCs w:val="22"/>
        </w:rPr>
        <w:t>Si può certamente essere pessimisti al riguardo, e ipotizzare che – in assenza di una disciplina di mercato servente rispetto alla sua logica di massimizzazione del profitto – esso si orienterà invece in ogni caso verso utilizzi e aree geografiche idonei ad assicurargli profitti non regolati e più elevati</w:t>
      </w:r>
      <w:r w:rsidR="00410E7F" w:rsidRPr="00410E7F">
        <w:rPr>
          <w:rFonts w:cs="Arial"/>
          <w:szCs w:val="22"/>
          <w:vertAlign w:val="superscript"/>
        </w:rPr>
        <w:t> </w:t>
      </w:r>
      <w:r w:rsidR="00410E7F" w:rsidRPr="00410E7F">
        <w:rPr>
          <w:rFonts w:cs="Arial"/>
          <w:szCs w:val="22"/>
          <w:vertAlign w:val="superscript"/>
        </w:rPr>
        <w:footnoteReference w:id="39"/>
      </w:r>
      <w:r w:rsidRPr="00977649">
        <w:rPr>
          <w:rFonts w:cs="Arial"/>
          <w:szCs w:val="22"/>
        </w:rPr>
        <w:t>. Ma questo è un rischio che il sistema europeo non sembra, almeno oggi, poter evitare di assumersi.</w:t>
      </w:r>
    </w:p>
    <w:p w14:paraId="7C8BFC8E" w14:textId="6B5BD0E2" w:rsidR="00AD1537" w:rsidRPr="00977649" w:rsidRDefault="00AD1537" w:rsidP="00977649">
      <w:pPr>
        <w:pStyle w:val="Capoverso"/>
        <w:rPr>
          <w:rFonts w:cs="Arial"/>
          <w:szCs w:val="22"/>
        </w:rPr>
      </w:pPr>
      <w:r w:rsidRPr="00977649">
        <w:rPr>
          <w:rFonts w:cs="Arial"/>
          <w:szCs w:val="22"/>
        </w:rPr>
        <w:t>Le alternative – una più estesa pubblicizzazione o ripubblicizzazione dei settori che incidono maggiormente sulla produzione di emissioni o, al contrario, un ritorno immediato ai canoni del paradigma neo-liberale</w:t>
      </w:r>
      <w:r w:rsidR="00410E7F" w:rsidRPr="00410E7F">
        <w:rPr>
          <w:rFonts w:cs="Arial"/>
          <w:szCs w:val="22"/>
          <w:vertAlign w:val="superscript"/>
        </w:rPr>
        <w:t> </w:t>
      </w:r>
      <w:r w:rsidR="00410E7F" w:rsidRPr="00410E7F">
        <w:rPr>
          <w:rFonts w:cs="Arial"/>
          <w:szCs w:val="22"/>
          <w:vertAlign w:val="superscript"/>
        </w:rPr>
        <w:footnoteReference w:id="40"/>
      </w:r>
      <w:r w:rsidRPr="00977649">
        <w:rPr>
          <w:rFonts w:cs="Arial"/>
          <w:szCs w:val="22"/>
        </w:rPr>
        <w:t xml:space="preserve">, certo più attraente per il capitale privato – appaiono entrambe meno desiderabili. </w:t>
      </w:r>
      <w:bookmarkEnd w:id="1"/>
    </w:p>
    <w:sectPr w:rsidR="00AD1537" w:rsidRPr="00977649" w:rsidSect="006155AD">
      <w:footerReference w:type="default" r:id="rId9"/>
      <w:footerReference w:type="first" r:id="rId10"/>
      <w:type w:val="continuous"/>
      <w:pgSz w:w="11906" w:h="16838" w:code="9"/>
      <w:pgMar w:top="1729" w:right="2126" w:bottom="1729" w:left="2126" w:header="0" w:footer="454"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D62B0" w14:textId="77777777" w:rsidR="00025301" w:rsidRDefault="00025301" w:rsidP="00C140EF">
      <w:pPr>
        <w:spacing w:after="0" w:line="240" w:lineRule="auto"/>
      </w:pPr>
      <w:r>
        <w:separator/>
      </w:r>
    </w:p>
  </w:endnote>
  <w:endnote w:type="continuationSeparator" w:id="0">
    <w:p w14:paraId="67EE46E1" w14:textId="77777777" w:rsidR="00025301" w:rsidRDefault="00025301" w:rsidP="00C140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oncini Garamond Std">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wiss721BT-Black">
    <w:altName w:val="Calibri"/>
    <w:panose1 w:val="020B0604020202020204"/>
    <w:charset w:val="00"/>
    <w:family w:val="swiss"/>
    <w:notTrueType/>
    <w:pitch w:val="default"/>
    <w:sig w:usb0="00000003" w:usb1="00000000" w:usb2="00000000" w:usb3="00000000" w:csb0="00000001" w:csb1="00000000"/>
  </w:font>
  <w:font w:name="Swiss721BT-Light">
    <w:altName w:val="Calibri"/>
    <w:panose1 w:val="020B0604020202020204"/>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14529" w14:textId="77777777" w:rsidR="00FD08E2" w:rsidRPr="00D16B97" w:rsidRDefault="00283577" w:rsidP="00D16B97">
    <w:pPr>
      <w:pStyle w:val="Capoverso"/>
    </w:pPr>
    <w:r>
      <w:rPr>
        <w:noProof/>
      </w:rPr>
      <mc:AlternateContent>
        <mc:Choice Requires="wpg">
          <w:drawing>
            <wp:anchor distT="0" distB="0" distL="114300" distR="114300" simplePos="0" relativeHeight="251659264" behindDoc="0" locked="0" layoutInCell="1" allowOverlap="1" wp14:anchorId="3A041114">
              <wp:simplePos x="0" y="0"/>
              <wp:positionH relativeFrom="column">
                <wp:posOffset>-574040</wp:posOffset>
              </wp:positionH>
              <wp:positionV relativeFrom="paragraph">
                <wp:posOffset>-474980</wp:posOffset>
              </wp:positionV>
              <wp:extent cx="5562600" cy="552450"/>
              <wp:effectExtent l="0" t="0" r="0" b="6350"/>
              <wp:wrapNone/>
              <wp:docPr id="11" name="Grup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552450"/>
                        <a:chOff x="1207" y="15220"/>
                        <a:chExt cx="8760" cy="870"/>
                      </a:xfrm>
                    </wpg:grpSpPr>
                    <pic:pic xmlns:pic="http://schemas.openxmlformats.org/drawingml/2006/picture">
                      <pic:nvPicPr>
                        <pic:cNvPr id="12" name="Immagine 4" descr="Piede"/>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1207" y="15220"/>
                          <a:ext cx="8760" cy="870"/>
                        </a:xfrm>
                        <a:prstGeom prst="rect">
                          <a:avLst/>
                        </a:prstGeom>
                        <a:noFill/>
                        <a:extLst>
                          <a:ext uri="{909E8E84-426E-40DD-AFC4-6F175D3DCCD1}">
                            <a14:hiddenFill xmlns:a14="http://schemas.microsoft.com/office/drawing/2010/main">
                              <a:solidFill>
                                <a:srgbClr val="FFFFFF"/>
                              </a:solidFill>
                            </a14:hiddenFill>
                          </a:ext>
                        </a:extLst>
                      </pic:spPr>
                    </pic:pic>
                    <wps:wsp>
                      <wps:cNvPr id="13" name="Casella di testo 5"/>
                      <wps:cNvSpPr txBox="1">
                        <a:spLocks/>
                      </wps:cNvSpPr>
                      <wps:spPr bwMode="auto">
                        <a:xfrm>
                          <a:off x="2107" y="15550"/>
                          <a:ext cx="766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684EE75" w14:textId="77777777" w:rsidR="00FD08E2" w:rsidRPr="00810C01" w:rsidRDefault="00C140EF" w:rsidP="00D3525C">
                            <w:pPr>
                              <w:autoSpaceDE w:val="0"/>
                              <w:autoSpaceDN w:val="0"/>
                              <w:adjustRightInd w:val="0"/>
                              <w:spacing w:after="0" w:line="240" w:lineRule="auto"/>
                              <w:rPr>
                                <w:rFonts w:ascii="Swiss721BT-Black" w:eastAsia="Times New Roman" w:hAnsi="Swiss721BT-Black" w:cs="Swiss721BT-Black"/>
                                <w:color w:val="A60000"/>
                                <w:sz w:val="20"/>
                                <w:szCs w:val="20"/>
                              </w:rPr>
                            </w:pPr>
                            <w:r w:rsidRPr="00810C01">
                              <w:rPr>
                                <w:rFonts w:ascii="Swiss721BT-Light" w:eastAsia="Times New Roman" w:hAnsi="Swiss721BT-Light" w:cs="Swiss721BT-Light"/>
                                <w:color w:val="A60000"/>
                                <w:sz w:val="20"/>
                                <w:szCs w:val="20"/>
                              </w:rPr>
                              <w:t xml:space="preserve">Rivista della </w:t>
                            </w:r>
                            <w:r w:rsidRPr="00810C01">
                              <w:rPr>
                                <w:rFonts w:ascii="Swiss721BT-Black" w:eastAsia="Times New Roman" w:hAnsi="Swiss721BT-Black" w:cs="Swiss721BT-Black"/>
                                <w:b/>
                                <w:color w:val="A60000"/>
                                <w:sz w:val="20"/>
                                <w:szCs w:val="20"/>
                              </w:rPr>
                              <w:t>Regolazione dei mercati</w:t>
                            </w:r>
                          </w:p>
                          <w:p w14:paraId="34BCC397" w14:textId="07F86405" w:rsidR="00FD08E2" w:rsidRDefault="00C140EF" w:rsidP="00D3525C">
                            <w:pPr>
                              <w:tabs>
                                <w:tab w:val="right" w:pos="7655"/>
                              </w:tabs>
                              <w:spacing w:after="0" w:line="240" w:lineRule="auto"/>
                            </w:pPr>
                            <w:r w:rsidRPr="00810C01">
                              <w:rPr>
                                <w:rFonts w:ascii="Swiss721BT-Light" w:eastAsia="Times New Roman" w:hAnsi="Swiss721BT-Light" w:cs="Swiss721BT-Light"/>
                                <w:color w:val="A60000"/>
                                <w:sz w:val="20"/>
                                <w:szCs w:val="20"/>
                              </w:rPr>
                              <w:t>Fascicolo</w:t>
                            </w:r>
                            <w:r w:rsidRPr="00810C01">
                              <w:rPr>
                                <w:rFonts w:ascii="Swiss721BT-Black" w:eastAsia="Times New Roman" w:hAnsi="Swiss721BT-Black" w:cs="Swiss721BT-Black"/>
                                <w:b/>
                                <w:color w:val="A60000"/>
                                <w:sz w:val="20"/>
                                <w:szCs w:val="20"/>
                              </w:rPr>
                              <w:t xml:space="preserve"> </w:t>
                            </w:r>
                            <w:r>
                              <w:rPr>
                                <w:rFonts w:ascii="Swiss721BT-Black" w:eastAsia="Times New Roman" w:hAnsi="Swiss721BT-Black" w:cs="Swiss721BT-Black"/>
                                <w:b/>
                                <w:color w:val="A60000"/>
                                <w:sz w:val="20"/>
                                <w:szCs w:val="20"/>
                              </w:rPr>
                              <w:t>1</w:t>
                            </w:r>
                            <w:r w:rsidRPr="00810C01">
                              <w:rPr>
                                <w:rFonts w:ascii="Swiss721BT-Light" w:eastAsia="Times New Roman" w:hAnsi="Swiss721BT-Light" w:cs="Swiss721BT-Light"/>
                                <w:color w:val="A60000"/>
                                <w:sz w:val="20"/>
                                <w:szCs w:val="20"/>
                              </w:rPr>
                              <w:t>| 202</w:t>
                            </w:r>
                            <w:r w:rsidR="00ED343A">
                              <w:rPr>
                                <w:rFonts w:ascii="Swiss721BT-Light" w:eastAsia="Times New Roman" w:hAnsi="Swiss721BT-Light" w:cs="Swiss721BT-Light"/>
                                <w:color w:val="A60000"/>
                                <w:sz w:val="20"/>
                                <w:szCs w:val="20"/>
                              </w:rPr>
                              <w:t>2</w:t>
                            </w:r>
                            <w:r>
                              <w:rPr>
                                <w:rFonts w:ascii="Swiss721BT-Light" w:eastAsia="Times New Roman" w:hAnsi="Swiss721BT-Light" w:cs="Swiss721BT-Light"/>
                                <w:color w:val="A60000"/>
                                <w:sz w:val="20"/>
                                <w:szCs w:val="20"/>
                              </w:rPr>
                              <w:tab/>
                            </w:r>
                            <w:r w:rsidRPr="0007764C">
                              <w:rPr>
                                <w:rFonts w:ascii="Arial" w:hAnsi="Arial" w:cs="Arial"/>
                                <w:color w:val="AE1F23"/>
                                <w:sz w:val="19"/>
                                <w:szCs w:val="19"/>
                              </w:rPr>
                              <w:fldChar w:fldCharType="begin"/>
                            </w:r>
                            <w:r w:rsidRPr="0007764C">
                              <w:rPr>
                                <w:rFonts w:ascii="Arial" w:hAnsi="Arial" w:cs="Arial"/>
                                <w:color w:val="AE1F23"/>
                                <w:sz w:val="19"/>
                                <w:szCs w:val="19"/>
                              </w:rPr>
                              <w:instrText>PAGE   \* MERGEFORMAT</w:instrText>
                            </w:r>
                            <w:r w:rsidRPr="0007764C">
                              <w:rPr>
                                <w:rFonts w:ascii="Arial" w:hAnsi="Arial" w:cs="Arial"/>
                                <w:color w:val="AE1F23"/>
                                <w:sz w:val="19"/>
                                <w:szCs w:val="19"/>
                              </w:rPr>
                              <w:fldChar w:fldCharType="separate"/>
                            </w:r>
                            <w:r>
                              <w:rPr>
                                <w:rFonts w:ascii="Arial" w:hAnsi="Arial" w:cs="Arial"/>
                                <w:color w:val="AE1F23"/>
                                <w:sz w:val="19"/>
                                <w:szCs w:val="19"/>
                              </w:rPr>
                              <w:t>229</w:t>
                            </w:r>
                            <w:r w:rsidRPr="0007764C">
                              <w:rPr>
                                <w:rFonts w:ascii="Arial" w:hAnsi="Arial" w:cs="Arial"/>
                                <w:color w:val="AE1F23"/>
                                <w:sz w:val="19"/>
                                <w:szCs w:val="19"/>
                              </w:rPr>
                              <w:fldChar w:fldCharType="end"/>
                            </w:r>
                          </w:p>
                          <w:p w14:paraId="48A83D77" w14:textId="77777777" w:rsidR="00FD08E2" w:rsidRDefault="00000000" w:rsidP="00D3525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041114" id="Gruppo 6" o:spid="_x0000_s1026" style="position:absolute;left:0;text-align:left;margin-left:-45.2pt;margin-top:-37.4pt;width:438pt;height:43.5pt;z-index:251659264" coordorigin="1207,15220" coordsize="8760,870"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B/OT/wXl/5SufFT6aR/wCmiyr5Br6+/wCC8v8Aylc+Kn00j/00WVfINfm2Yf71&#13;&#10;U/xP8z/Q7gb/AJJzAf8AXml/6REKKKK5D6oKKKKACiiigAooooAKKKKACv6K/wDggN/yiq+G/wD1&#13;&#10;31b/ANOd1X86lf0V/wDBAb/lFV8N/wDrvq3/AKc7qve4d/3p/wCF/mj8L+kD/wAk7S/6/R/9IqH2&#13;&#10;TRRRX2x/HY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4" o:spid="_x0000_s1027" type="#_x0000_t75" alt="Piede" style="position:absolute;left:1207;top:15220;width:8760;height:87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">
                <v:imagedata r:id="rId2" o:title="Piede"/>
                <o:lock v:ext="edit" aspectratio="f"/>
              </v:shape>
              <v:shapetype id="_x0000_t202" coordsize="21600,21600" o:spt="202" path="m,l,21600r21600,l21600,xe">
                <v:stroke joinstyle="miter"/>
                <v:path gradientshapeok="t" o:connecttype="rect"/>
              </v:shapetype>
              <v:shape id="Casella di testo 5" o:spid="_x0000_s1028" type="#_x0000_t202" style="position:absolute;left:2107;top:15550;width:7663;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" filled="f" stroked="f" strokeweight=".5pt">
                <v:path arrowok="t"/>
                <v:textbox inset="0,0,0,0">
                  <w:txbxContent>
                    <w:p w14:paraId="0684EE75" w14:textId="77777777" w:rsidR="00FD08E2" w:rsidRPr="00810C01" w:rsidRDefault="00C140EF" w:rsidP="00D3525C">
                      <w:pPr>
                        <w:autoSpaceDE w:val="0"/>
                        <w:autoSpaceDN w:val="0"/>
                        <w:adjustRightInd w:val="0"/>
                        <w:spacing w:after="0" w:line="240" w:lineRule="auto"/>
                        <w:rPr>
                          <w:rFonts w:ascii="Swiss721BT-Black" w:eastAsia="Times New Roman" w:hAnsi="Swiss721BT-Black" w:cs="Swiss721BT-Black"/>
                          <w:color w:val="A60000"/>
                          <w:sz w:val="20"/>
                          <w:szCs w:val="20"/>
                        </w:rPr>
                      </w:pPr>
                      <w:r w:rsidRPr="00810C01">
                        <w:rPr>
                          <w:rFonts w:ascii="Swiss721BT-Light" w:eastAsia="Times New Roman" w:hAnsi="Swiss721BT-Light" w:cs="Swiss721BT-Light"/>
                          <w:color w:val="A60000"/>
                          <w:sz w:val="20"/>
                          <w:szCs w:val="20"/>
                        </w:rPr>
                        <w:t xml:space="preserve">Rivista della </w:t>
                      </w:r>
                      <w:r w:rsidRPr="00810C01">
                        <w:rPr>
                          <w:rFonts w:ascii="Swiss721BT-Black" w:eastAsia="Times New Roman" w:hAnsi="Swiss721BT-Black" w:cs="Swiss721BT-Black"/>
                          <w:b/>
                          <w:color w:val="A60000"/>
                          <w:sz w:val="20"/>
                          <w:szCs w:val="20"/>
                        </w:rPr>
                        <w:t>Regolazione dei mercati</w:t>
                      </w:r>
                    </w:p>
                    <w:p w14:paraId="34BCC397" w14:textId="07F86405" w:rsidR="00FD08E2" w:rsidRDefault="00C140EF" w:rsidP="00D3525C">
                      <w:pPr>
                        <w:tabs>
                          <w:tab w:val="right" w:pos="7655"/>
                        </w:tabs>
                        <w:spacing w:after="0" w:line="240" w:lineRule="auto"/>
                      </w:pPr>
                      <w:r w:rsidRPr="00810C01">
                        <w:rPr>
                          <w:rFonts w:ascii="Swiss721BT-Light" w:eastAsia="Times New Roman" w:hAnsi="Swiss721BT-Light" w:cs="Swiss721BT-Light"/>
                          <w:color w:val="A60000"/>
                          <w:sz w:val="20"/>
                          <w:szCs w:val="20"/>
                        </w:rPr>
                        <w:t>Fascicolo</w:t>
                      </w:r>
                      <w:r w:rsidRPr="00810C01">
                        <w:rPr>
                          <w:rFonts w:ascii="Swiss721BT-Black" w:eastAsia="Times New Roman" w:hAnsi="Swiss721BT-Black" w:cs="Swiss721BT-Black"/>
                          <w:b/>
                          <w:color w:val="A60000"/>
                          <w:sz w:val="20"/>
                          <w:szCs w:val="20"/>
                        </w:rPr>
                        <w:t xml:space="preserve"> </w:t>
                      </w:r>
                      <w:r>
                        <w:rPr>
                          <w:rFonts w:ascii="Swiss721BT-Black" w:eastAsia="Times New Roman" w:hAnsi="Swiss721BT-Black" w:cs="Swiss721BT-Black"/>
                          <w:b/>
                          <w:color w:val="A60000"/>
                          <w:sz w:val="20"/>
                          <w:szCs w:val="20"/>
                        </w:rPr>
                        <w:t>1</w:t>
                      </w:r>
                      <w:r w:rsidRPr="00810C01">
                        <w:rPr>
                          <w:rFonts w:ascii="Swiss721BT-Light" w:eastAsia="Times New Roman" w:hAnsi="Swiss721BT-Light" w:cs="Swiss721BT-Light"/>
                          <w:color w:val="A60000"/>
                          <w:sz w:val="20"/>
                          <w:szCs w:val="20"/>
                        </w:rPr>
                        <w:t>| 202</w:t>
                      </w:r>
                      <w:r w:rsidR="00ED343A">
                        <w:rPr>
                          <w:rFonts w:ascii="Swiss721BT-Light" w:eastAsia="Times New Roman" w:hAnsi="Swiss721BT-Light" w:cs="Swiss721BT-Light"/>
                          <w:color w:val="A60000"/>
                          <w:sz w:val="20"/>
                          <w:szCs w:val="20"/>
                        </w:rPr>
                        <w:t>2</w:t>
                      </w:r>
                      <w:r>
                        <w:rPr>
                          <w:rFonts w:ascii="Swiss721BT-Light" w:eastAsia="Times New Roman" w:hAnsi="Swiss721BT-Light" w:cs="Swiss721BT-Light"/>
                          <w:color w:val="A60000"/>
                          <w:sz w:val="20"/>
                          <w:szCs w:val="20"/>
                        </w:rPr>
                        <w:tab/>
                      </w:r>
                      <w:r w:rsidRPr="0007764C">
                        <w:rPr>
                          <w:rFonts w:ascii="Arial" w:hAnsi="Arial" w:cs="Arial"/>
                          <w:color w:val="AE1F23"/>
                          <w:sz w:val="19"/>
                          <w:szCs w:val="19"/>
                        </w:rPr>
                        <w:fldChar w:fldCharType="begin"/>
                      </w:r>
                      <w:r w:rsidRPr="0007764C">
                        <w:rPr>
                          <w:rFonts w:ascii="Arial" w:hAnsi="Arial" w:cs="Arial"/>
                          <w:color w:val="AE1F23"/>
                          <w:sz w:val="19"/>
                          <w:szCs w:val="19"/>
                        </w:rPr>
                        <w:instrText>PAGE   \* MERGEFORMAT</w:instrText>
                      </w:r>
                      <w:r w:rsidRPr="0007764C">
                        <w:rPr>
                          <w:rFonts w:ascii="Arial" w:hAnsi="Arial" w:cs="Arial"/>
                          <w:color w:val="AE1F23"/>
                          <w:sz w:val="19"/>
                          <w:szCs w:val="19"/>
                        </w:rPr>
                        <w:fldChar w:fldCharType="separate"/>
                      </w:r>
                      <w:r>
                        <w:rPr>
                          <w:rFonts w:ascii="Arial" w:hAnsi="Arial" w:cs="Arial"/>
                          <w:color w:val="AE1F23"/>
                          <w:sz w:val="19"/>
                          <w:szCs w:val="19"/>
                        </w:rPr>
                        <w:t>229</w:t>
                      </w:r>
                      <w:r w:rsidRPr="0007764C">
                        <w:rPr>
                          <w:rFonts w:ascii="Arial" w:hAnsi="Arial" w:cs="Arial"/>
                          <w:color w:val="AE1F23"/>
                          <w:sz w:val="19"/>
                          <w:szCs w:val="19"/>
                        </w:rPr>
                        <w:fldChar w:fldCharType="end"/>
                      </w:r>
                    </w:p>
                    <w:p w14:paraId="48A83D77" w14:textId="77777777" w:rsidR="00FD08E2" w:rsidRDefault="00000000" w:rsidP="00D3525C"/>
                  </w:txbxContent>
                </v:textbox>
              </v:shape>
            </v:group>
          </w:pict>
        </mc:Fallback>
      </mc:AlternateContent>
    </w:r>
    <w:r>
      <w:rPr>
        <w:noProof/>
      </w:rPr>
      <mc:AlternateContent>
        <mc:Choice Requires="wpg">
          <w:drawing>
            <wp:anchor distT="0" distB="0" distL="114300" distR="114300" simplePos="0" relativeHeight="251658240" behindDoc="0" locked="0" layoutInCell="1" allowOverlap="1" wp14:anchorId="49100462">
              <wp:simplePos x="0" y="0"/>
              <wp:positionH relativeFrom="column">
                <wp:posOffset>965200</wp:posOffset>
              </wp:positionH>
              <wp:positionV relativeFrom="paragraph">
                <wp:posOffset>8674100</wp:posOffset>
              </wp:positionV>
              <wp:extent cx="5559425" cy="617220"/>
              <wp:effectExtent l="0" t="0" r="3175" b="5080"/>
              <wp:wrapNone/>
              <wp:docPr id="4" name="Grup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9425" cy="617220"/>
                        <a:chOff x="1050" y="15141"/>
                        <a:chExt cx="8755" cy="972"/>
                      </a:xfrm>
                    </wpg:grpSpPr>
                    <wps:wsp>
                      <wps:cNvPr id="9" name="Text Box 3"/>
                      <wps:cNvSpPr txBox="1">
                        <a:spLocks/>
                      </wps:cNvSpPr>
                      <wps:spPr bwMode="auto">
                        <a:xfrm>
                          <a:off x="1050" y="15141"/>
                          <a:ext cx="8755" cy="9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834D67" w14:textId="77777777" w:rsidR="00FD08E2" w:rsidRDefault="00283577" w:rsidP="00D3525C">
                            <w:r>
                              <w:rPr>
                                <w:rFonts w:ascii="Cambria" w:eastAsia="MS Mincho" w:hAnsi="Cambria"/>
                                <w:sz w:val="24"/>
                                <w:szCs w:val="24"/>
                              </w:rPr>
                              <w:drawing>
                                <wp:inline distT="0" distB="0" distL="0" distR="0" wp14:anchorId="45D76D27">
                                  <wp:extent cx="4864100" cy="482600"/>
                                  <wp:effectExtent l="0" t="0" r="0" b="0"/>
                                  <wp:docPr id="14" name="Immagine 15" descr="Pie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5" descr="Piede"/>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864100" cy="4826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0" name="Text Box 4"/>
                      <wps:cNvSpPr txBox="1">
                        <a:spLocks/>
                      </wps:cNvSpPr>
                      <wps:spPr bwMode="auto">
                        <a:xfrm>
                          <a:off x="2010" y="15328"/>
                          <a:ext cx="3943" cy="6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962819" w14:textId="77777777" w:rsidR="00FD08E2" w:rsidRDefault="00C140EF" w:rsidP="00D3525C">
                            <w:pPr>
                              <w:autoSpaceDE w:val="0"/>
                              <w:autoSpaceDN w:val="0"/>
                              <w:adjustRightInd w:val="0"/>
                              <w:rPr>
                                <w:rFonts w:ascii="Swiss721BT-Black" w:eastAsia="Times New Roman" w:hAnsi="Swiss721BT-Black" w:cs="Swiss721BT-Black"/>
                                <w:color w:val="A60000"/>
                                <w:sz w:val="20"/>
                                <w:szCs w:val="20"/>
                              </w:rPr>
                            </w:pPr>
                            <w:r>
                              <w:rPr>
                                <w:rFonts w:ascii="Swiss721BT-Light" w:eastAsia="Times New Roman" w:hAnsi="Swiss721BT-Light" w:cs="Swiss721BT-Light"/>
                                <w:color w:val="A60000"/>
                                <w:sz w:val="20"/>
                                <w:szCs w:val="20"/>
                              </w:rPr>
                              <w:t xml:space="preserve">Rivista della </w:t>
                            </w:r>
                            <w:r w:rsidRPr="001F336B">
                              <w:rPr>
                                <w:rFonts w:ascii="Swiss721BT-Black" w:eastAsia="Times New Roman" w:hAnsi="Swiss721BT-Black" w:cs="Swiss721BT-Black"/>
                                <w:b/>
                                <w:color w:val="A60000"/>
                                <w:sz w:val="20"/>
                                <w:szCs w:val="20"/>
                                <w:highlight w:val="green"/>
                              </w:rPr>
                              <w:t>Regolazione dei mercati</w:t>
                            </w:r>
                          </w:p>
                          <w:p w14:paraId="038D08F3" w14:textId="77777777" w:rsidR="00FD08E2" w:rsidRDefault="00C140EF" w:rsidP="00D3525C">
                            <w:r>
                              <w:rPr>
                                <w:rFonts w:ascii="Swiss721BT-Light" w:eastAsia="Times New Roman" w:hAnsi="Swiss721BT-Light" w:cs="Swiss721BT-Light"/>
                                <w:color w:val="A60000"/>
                                <w:sz w:val="20"/>
                                <w:szCs w:val="20"/>
                              </w:rPr>
                              <w:t xml:space="preserve">Fascicolo </w:t>
                            </w:r>
                            <w:r w:rsidRPr="001F336B">
                              <w:rPr>
                                <w:rFonts w:ascii="Swiss721BT-Black" w:eastAsia="Times New Roman" w:hAnsi="Swiss721BT-Black" w:cs="Swiss721BT-Black"/>
                                <w:b/>
                                <w:color w:val="A60000"/>
                                <w:sz w:val="20"/>
                                <w:szCs w:val="20"/>
                                <w:highlight w:val="green"/>
                              </w:rPr>
                              <w:t>2</w:t>
                            </w:r>
                            <w:r>
                              <w:rPr>
                                <w:rFonts w:ascii="Swiss721BT-Light" w:eastAsia="Times New Roman" w:hAnsi="Swiss721BT-Light" w:cs="Swiss721BT-Light"/>
                                <w:color w:val="A60000"/>
                                <w:sz w:val="20"/>
                                <w:szCs w:val="20"/>
                              </w:rPr>
                              <w:t>| 2014</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100462" id="Gruppo 3" o:spid="_x0000_s1029" style="position:absolute;left:0;text-align:left;margin-left:76pt;margin-top:683pt;width:437.75pt;height:48.6pt;z-index:251658240" coordorigin="1050,15141" coordsize="8755,9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">
              <v:shape id="Text Box 3" o:spid="_x0000_s1030" type="#_x0000_t202" style="position:absolute;left:1050;top:15141;width:8755;height:9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" stroked="f">
                <v:path arrowok="t"/>
                <v:textbox>
                  <w:txbxContent>
                    <w:p w14:paraId="74834D67" w14:textId="77777777" w:rsidR="00FD08E2" w:rsidRDefault="00283577" w:rsidP="00D3525C">
                      <w:r>
                        <w:rPr>
                          <w:rFonts w:ascii="Cambria" w:eastAsia="MS Mincho" w:hAnsi="Cambria"/>
                          <w:sz w:val="24"/>
                          <w:szCs w:val="24"/>
                        </w:rPr>
                        <w:drawing>
                          <wp:inline distT="0" distB="0" distL="0" distR="0" wp14:anchorId="45D76D27">
                            <wp:extent cx="4864100" cy="482600"/>
                            <wp:effectExtent l="0" t="0" r="0" b="0"/>
                            <wp:docPr id="14" name="Immagine 15" descr="Pie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5" descr="Piede"/>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864100" cy="482600"/>
                                    </a:xfrm>
                                    <a:prstGeom prst="rect">
                                      <a:avLst/>
                                    </a:prstGeom>
                                    <a:noFill/>
                                    <a:ln>
                                      <a:noFill/>
                                    </a:ln>
                                  </pic:spPr>
                                </pic:pic>
                              </a:graphicData>
                            </a:graphic>
                          </wp:inline>
                        </w:drawing>
                      </w:r>
                    </w:p>
                  </w:txbxContent>
                </v:textbox>
              </v:shape>
              <v:shape id="Text Box 4" o:spid="_x0000_s1031" type="#_x0000_t202" style="position:absolute;left:2010;top:15328;width:3943;height:6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" stroked="f">
                <v:path arrowok="t"/>
                <v:textbox>
                  <w:txbxContent>
                    <w:p w14:paraId="08962819" w14:textId="77777777" w:rsidR="00FD08E2" w:rsidRDefault="00C140EF" w:rsidP="00D3525C">
                      <w:pPr>
                        <w:autoSpaceDE w:val="0"/>
                        <w:autoSpaceDN w:val="0"/>
                        <w:adjustRightInd w:val="0"/>
                        <w:rPr>
                          <w:rFonts w:ascii="Swiss721BT-Black" w:eastAsia="Times New Roman" w:hAnsi="Swiss721BT-Black" w:cs="Swiss721BT-Black"/>
                          <w:color w:val="A60000"/>
                          <w:sz w:val="20"/>
                          <w:szCs w:val="20"/>
                        </w:rPr>
                      </w:pPr>
                      <w:r>
                        <w:rPr>
                          <w:rFonts w:ascii="Swiss721BT-Light" w:eastAsia="Times New Roman" w:hAnsi="Swiss721BT-Light" w:cs="Swiss721BT-Light"/>
                          <w:color w:val="A60000"/>
                          <w:sz w:val="20"/>
                          <w:szCs w:val="20"/>
                        </w:rPr>
                        <w:t xml:space="preserve">Rivista della </w:t>
                      </w:r>
                      <w:r w:rsidRPr="001F336B">
                        <w:rPr>
                          <w:rFonts w:ascii="Swiss721BT-Black" w:eastAsia="Times New Roman" w:hAnsi="Swiss721BT-Black" w:cs="Swiss721BT-Black"/>
                          <w:b/>
                          <w:color w:val="A60000"/>
                          <w:sz w:val="20"/>
                          <w:szCs w:val="20"/>
                          <w:highlight w:val="green"/>
                        </w:rPr>
                        <w:t>Regolazione dei mercati</w:t>
                      </w:r>
                    </w:p>
                    <w:p w14:paraId="038D08F3" w14:textId="77777777" w:rsidR="00FD08E2" w:rsidRDefault="00C140EF" w:rsidP="00D3525C">
                      <w:r>
                        <w:rPr>
                          <w:rFonts w:ascii="Swiss721BT-Light" w:eastAsia="Times New Roman" w:hAnsi="Swiss721BT-Light" w:cs="Swiss721BT-Light"/>
                          <w:color w:val="A60000"/>
                          <w:sz w:val="20"/>
                          <w:szCs w:val="20"/>
                        </w:rPr>
                        <w:t xml:space="preserve">Fascicolo </w:t>
                      </w:r>
                      <w:r w:rsidRPr="001F336B">
                        <w:rPr>
                          <w:rFonts w:ascii="Swiss721BT-Black" w:eastAsia="Times New Roman" w:hAnsi="Swiss721BT-Black" w:cs="Swiss721BT-Black"/>
                          <w:b/>
                          <w:color w:val="A60000"/>
                          <w:sz w:val="20"/>
                          <w:szCs w:val="20"/>
                          <w:highlight w:val="green"/>
                        </w:rPr>
                        <w:t>2</w:t>
                      </w:r>
                      <w:r>
                        <w:rPr>
                          <w:rFonts w:ascii="Swiss721BT-Light" w:eastAsia="Times New Roman" w:hAnsi="Swiss721BT-Light" w:cs="Swiss721BT-Light"/>
                          <w:color w:val="A60000"/>
                          <w:sz w:val="20"/>
                          <w:szCs w:val="20"/>
                        </w:rPr>
                        <w:t>| 2014</w:t>
                      </w:r>
                    </w:p>
                  </w:txbxContent>
                </v:textbox>
              </v:shap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810D3" w14:textId="77777777" w:rsidR="00B76087" w:rsidRPr="00D16B97" w:rsidRDefault="00B76087" w:rsidP="00D16B97">
    <w:pPr>
      <w:pStyle w:val="Capoverso"/>
    </w:pPr>
    <w:r w:rsidRPr="000A570D">
      <w:rPr>
        <w:noProof/>
      </w:rPr>
      <mc:AlternateContent>
        <mc:Choice Requires="wpg">
          <w:drawing>
            <wp:anchor distT="0" distB="0" distL="114300" distR="114300" simplePos="0" relativeHeight="251657216" behindDoc="0" locked="0" layoutInCell="1" allowOverlap="1" wp14:anchorId="0E5A3863" wp14:editId="3631D740">
              <wp:simplePos x="0" y="0"/>
              <wp:positionH relativeFrom="column">
                <wp:posOffset>-574040</wp:posOffset>
              </wp:positionH>
              <wp:positionV relativeFrom="paragraph">
                <wp:posOffset>-474980</wp:posOffset>
              </wp:positionV>
              <wp:extent cx="5562600" cy="552450"/>
              <wp:effectExtent l="0" t="0" r="0" b="0"/>
              <wp:wrapNone/>
              <wp:docPr id="6" name="Grup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552450"/>
                        <a:chOff x="1207" y="15220"/>
                        <a:chExt cx="8760" cy="870"/>
                      </a:xfrm>
                    </wpg:grpSpPr>
                    <pic:pic xmlns:pic="http://schemas.openxmlformats.org/drawingml/2006/picture">
                      <pic:nvPicPr>
                        <pic:cNvPr id="7" name="Immagine 4" descr="Piede"/>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1207" y="15220"/>
                          <a:ext cx="8760" cy="870"/>
                        </a:xfrm>
                        <a:prstGeom prst="rect">
                          <a:avLst/>
                        </a:prstGeom>
                        <a:noFill/>
                        <a:extLst>
                          <a:ext uri="{909E8E84-426E-40DD-AFC4-6F175D3DCCD1}">
                            <a14:hiddenFill xmlns:a14="http://schemas.microsoft.com/office/drawing/2010/main">
                              <a:solidFill>
                                <a:srgbClr val="FFFFFF"/>
                              </a:solidFill>
                            </a14:hiddenFill>
                          </a:ext>
                        </a:extLst>
                      </pic:spPr>
                    </pic:pic>
                    <wps:wsp>
                      <wps:cNvPr id="8" name="Casella di testo 5"/>
                      <wps:cNvSpPr txBox="1">
                        <a:spLocks noChangeArrowheads="1"/>
                      </wps:cNvSpPr>
                      <wps:spPr bwMode="auto">
                        <a:xfrm>
                          <a:off x="2107" y="15550"/>
                          <a:ext cx="766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5F759AD" w14:textId="77777777" w:rsidR="00B76087" w:rsidRPr="000A570D" w:rsidRDefault="00B76087" w:rsidP="00B76087">
                            <w:pPr>
                              <w:autoSpaceDE w:val="0"/>
                              <w:autoSpaceDN w:val="0"/>
                              <w:adjustRightInd w:val="0"/>
                              <w:spacing w:after="0" w:line="240" w:lineRule="auto"/>
                              <w:rPr>
                                <w:rFonts w:ascii="Swiss721BT-Black" w:eastAsia="Times New Roman" w:hAnsi="Swiss721BT-Black" w:cs="Swiss721BT-Black"/>
                                <w:color w:val="A60000"/>
                                <w:sz w:val="20"/>
                                <w:szCs w:val="20"/>
                              </w:rPr>
                            </w:pPr>
                            <w:r w:rsidRPr="000A570D">
                              <w:rPr>
                                <w:rFonts w:ascii="Swiss721BT-Light" w:eastAsia="Times New Roman" w:hAnsi="Swiss721BT-Light" w:cs="Swiss721BT-Light"/>
                                <w:color w:val="A60000"/>
                                <w:sz w:val="20"/>
                                <w:szCs w:val="20"/>
                              </w:rPr>
                              <w:t xml:space="preserve">Rivista della </w:t>
                            </w:r>
                            <w:r w:rsidRPr="000A570D">
                              <w:rPr>
                                <w:rFonts w:ascii="Swiss721BT-Black" w:eastAsia="Times New Roman" w:hAnsi="Swiss721BT-Black" w:cs="Swiss721BT-Black"/>
                                <w:b/>
                                <w:color w:val="A60000"/>
                                <w:sz w:val="20"/>
                                <w:szCs w:val="20"/>
                              </w:rPr>
                              <w:t>Regolazione dei mercati</w:t>
                            </w:r>
                          </w:p>
                          <w:p w14:paraId="3D381851" w14:textId="77777777" w:rsidR="00B76087" w:rsidRDefault="00B76087" w:rsidP="00B76087">
                            <w:pPr>
                              <w:tabs>
                                <w:tab w:val="right" w:pos="7655"/>
                              </w:tabs>
                              <w:spacing w:after="0" w:line="240" w:lineRule="auto"/>
                            </w:pPr>
                            <w:r w:rsidRPr="000A570D">
                              <w:rPr>
                                <w:rFonts w:ascii="Swiss721BT-Light" w:eastAsia="Times New Roman" w:hAnsi="Swiss721BT-Light" w:cs="Swiss721BT-Light"/>
                                <w:color w:val="A60000"/>
                                <w:sz w:val="20"/>
                                <w:szCs w:val="20"/>
                              </w:rPr>
                              <w:t>Fascicolo</w:t>
                            </w:r>
                            <w:r w:rsidRPr="000A570D">
                              <w:rPr>
                                <w:rFonts w:ascii="Swiss721BT-Black" w:eastAsia="Times New Roman" w:hAnsi="Swiss721BT-Black" w:cs="Swiss721BT-Black"/>
                                <w:b/>
                                <w:color w:val="A60000"/>
                                <w:sz w:val="20"/>
                                <w:szCs w:val="20"/>
                              </w:rPr>
                              <w:t xml:space="preserve"> 2</w:t>
                            </w:r>
                            <w:r w:rsidRPr="000A570D">
                              <w:rPr>
                                <w:rFonts w:ascii="Swiss721BT-Light" w:eastAsia="Times New Roman" w:hAnsi="Swiss721BT-Light" w:cs="Swiss721BT-Light"/>
                                <w:color w:val="A60000"/>
                                <w:sz w:val="20"/>
                                <w:szCs w:val="20"/>
                              </w:rPr>
                              <w:t>| 2020</w:t>
                            </w:r>
                            <w:r w:rsidRPr="000A570D">
                              <w:rPr>
                                <w:rFonts w:ascii="Swiss721BT-Light" w:eastAsia="Times New Roman" w:hAnsi="Swiss721BT-Light" w:cs="Swiss721BT-Light"/>
                                <w:color w:val="A60000"/>
                                <w:sz w:val="20"/>
                                <w:szCs w:val="20"/>
                              </w:rPr>
                              <w:tab/>
                            </w:r>
                            <w:r w:rsidRPr="000A570D">
                              <w:rPr>
                                <w:rFonts w:ascii="Arial" w:hAnsi="Arial" w:cs="Arial"/>
                                <w:color w:val="AE1F23"/>
                                <w:sz w:val="19"/>
                                <w:szCs w:val="19"/>
                              </w:rPr>
                              <w:fldChar w:fldCharType="begin"/>
                            </w:r>
                            <w:r w:rsidRPr="000A570D">
                              <w:rPr>
                                <w:rFonts w:ascii="Arial" w:hAnsi="Arial" w:cs="Arial"/>
                                <w:color w:val="AE1F23"/>
                                <w:sz w:val="19"/>
                                <w:szCs w:val="19"/>
                              </w:rPr>
                              <w:instrText>PAGE   \* MERGEFORMAT</w:instrText>
                            </w:r>
                            <w:r w:rsidRPr="000A570D">
                              <w:rPr>
                                <w:rFonts w:ascii="Arial" w:hAnsi="Arial" w:cs="Arial"/>
                                <w:color w:val="AE1F23"/>
                                <w:sz w:val="19"/>
                                <w:szCs w:val="19"/>
                              </w:rPr>
                              <w:fldChar w:fldCharType="separate"/>
                            </w:r>
                            <w:r>
                              <w:rPr>
                                <w:rFonts w:ascii="Arial" w:hAnsi="Arial" w:cs="Arial"/>
                                <w:color w:val="AE1F23"/>
                                <w:sz w:val="19"/>
                                <w:szCs w:val="19"/>
                              </w:rPr>
                              <w:t>238</w:t>
                            </w:r>
                            <w:r w:rsidRPr="000A570D">
                              <w:rPr>
                                <w:rFonts w:ascii="Arial" w:hAnsi="Arial" w:cs="Arial"/>
                                <w:color w:val="AE1F23"/>
                                <w:sz w:val="19"/>
                                <w:szCs w:val="19"/>
                              </w:rPr>
                              <w:fldChar w:fldCharType="end"/>
                            </w:r>
                          </w:p>
                          <w:p w14:paraId="2C09A66E" w14:textId="77777777" w:rsidR="00B76087" w:rsidRDefault="00B76087" w:rsidP="00B7608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5A3863" id="_x0000_s1032" style="position:absolute;left:0;text-align:left;margin-left:-45.2pt;margin-top:-37.4pt;width:438pt;height:43.5pt;z-index:251657216" coordorigin="1207,15220" coordsize="8760,870"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zk/8F5f+UrnxU+m&#13;&#10;kf8Aposq+Qa+vv8AgvL/AMpXPip9NI/9NFlXyDX5tmH+9VP8T/M/0O4G/wCScwH/AF5pf+kRCiii&#13;&#10;uQ+qCiiigAooooAKKKKACiiigAr+iv8A4IDf8oqvhv8A9d9W/wDTndV/OpX9Ff8AwQG/5RVfDf8A&#13;&#10;676t/wCnO6r3uHf96f8Ahf5o/C/pA/8AJO0v+v0f/SKh9k0UUV9sfx2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4" o:spid="_x0000_s1033" type="#_x0000_t75" alt="Piede" style="position:absolute;left:1207;top:15220;width:8760;height:87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">
                <v:imagedata r:id="rId2" o:title="Piede"/>
              </v:shape>
              <v:shapetype id="_x0000_t202" coordsize="21600,21600" o:spt="202" path="m,l,21600r21600,l21600,xe">
                <v:stroke joinstyle="miter"/>
                <v:path gradientshapeok="t" o:connecttype="rect"/>
              </v:shapetype>
              <v:shape id="Casella di testo 5" o:spid="_x0000_s1034" type="#_x0000_t202" style="position:absolute;left:2107;top:15550;width:7663;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" filled="f" stroked="f" strokeweight=".5pt">
                <v:textbox inset="0,0,0,0">
                  <w:txbxContent>
                    <w:p w14:paraId="45F759AD" w14:textId="77777777" w:rsidR="00B76087" w:rsidRPr="000A570D" w:rsidRDefault="00B76087" w:rsidP="00B76087">
                      <w:pPr>
                        <w:autoSpaceDE w:val="0"/>
                        <w:autoSpaceDN w:val="0"/>
                        <w:adjustRightInd w:val="0"/>
                        <w:spacing w:after="0" w:line="240" w:lineRule="auto"/>
                        <w:rPr>
                          <w:rFonts w:ascii="Swiss721BT-Black" w:eastAsia="Times New Roman" w:hAnsi="Swiss721BT-Black" w:cs="Swiss721BT-Black"/>
                          <w:color w:val="A60000"/>
                          <w:sz w:val="20"/>
                          <w:szCs w:val="20"/>
                        </w:rPr>
                      </w:pPr>
                      <w:r w:rsidRPr="000A570D">
                        <w:rPr>
                          <w:rFonts w:ascii="Swiss721BT-Light" w:eastAsia="Times New Roman" w:hAnsi="Swiss721BT-Light" w:cs="Swiss721BT-Light"/>
                          <w:color w:val="A60000"/>
                          <w:sz w:val="20"/>
                          <w:szCs w:val="20"/>
                        </w:rPr>
                        <w:t xml:space="preserve">Rivista della </w:t>
                      </w:r>
                      <w:r w:rsidRPr="000A570D">
                        <w:rPr>
                          <w:rFonts w:ascii="Swiss721BT-Black" w:eastAsia="Times New Roman" w:hAnsi="Swiss721BT-Black" w:cs="Swiss721BT-Black"/>
                          <w:b/>
                          <w:color w:val="A60000"/>
                          <w:sz w:val="20"/>
                          <w:szCs w:val="20"/>
                        </w:rPr>
                        <w:t>Regolazione dei mercati</w:t>
                      </w:r>
                    </w:p>
                    <w:p w14:paraId="3D381851" w14:textId="77777777" w:rsidR="00B76087" w:rsidRDefault="00B76087" w:rsidP="00B76087">
                      <w:pPr>
                        <w:tabs>
                          <w:tab w:val="right" w:pos="7655"/>
                        </w:tabs>
                        <w:spacing w:after="0" w:line="240" w:lineRule="auto"/>
                      </w:pPr>
                      <w:r w:rsidRPr="000A570D">
                        <w:rPr>
                          <w:rFonts w:ascii="Swiss721BT-Light" w:eastAsia="Times New Roman" w:hAnsi="Swiss721BT-Light" w:cs="Swiss721BT-Light"/>
                          <w:color w:val="A60000"/>
                          <w:sz w:val="20"/>
                          <w:szCs w:val="20"/>
                        </w:rPr>
                        <w:t>Fascicolo</w:t>
                      </w:r>
                      <w:r w:rsidRPr="000A570D">
                        <w:rPr>
                          <w:rFonts w:ascii="Swiss721BT-Black" w:eastAsia="Times New Roman" w:hAnsi="Swiss721BT-Black" w:cs="Swiss721BT-Black"/>
                          <w:b/>
                          <w:color w:val="A60000"/>
                          <w:sz w:val="20"/>
                          <w:szCs w:val="20"/>
                        </w:rPr>
                        <w:t xml:space="preserve"> 2</w:t>
                      </w:r>
                      <w:r w:rsidRPr="000A570D">
                        <w:rPr>
                          <w:rFonts w:ascii="Swiss721BT-Light" w:eastAsia="Times New Roman" w:hAnsi="Swiss721BT-Light" w:cs="Swiss721BT-Light"/>
                          <w:color w:val="A60000"/>
                          <w:sz w:val="20"/>
                          <w:szCs w:val="20"/>
                        </w:rPr>
                        <w:t>| 2020</w:t>
                      </w:r>
                      <w:r w:rsidRPr="000A570D">
                        <w:rPr>
                          <w:rFonts w:ascii="Swiss721BT-Light" w:eastAsia="Times New Roman" w:hAnsi="Swiss721BT-Light" w:cs="Swiss721BT-Light"/>
                          <w:color w:val="A60000"/>
                          <w:sz w:val="20"/>
                          <w:szCs w:val="20"/>
                        </w:rPr>
                        <w:tab/>
                      </w:r>
                      <w:r w:rsidRPr="000A570D">
                        <w:rPr>
                          <w:rFonts w:ascii="Arial" w:hAnsi="Arial" w:cs="Arial"/>
                          <w:color w:val="AE1F23"/>
                          <w:sz w:val="19"/>
                          <w:szCs w:val="19"/>
                        </w:rPr>
                        <w:fldChar w:fldCharType="begin"/>
                      </w:r>
                      <w:r w:rsidRPr="000A570D">
                        <w:rPr>
                          <w:rFonts w:ascii="Arial" w:hAnsi="Arial" w:cs="Arial"/>
                          <w:color w:val="AE1F23"/>
                          <w:sz w:val="19"/>
                          <w:szCs w:val="19"/>
                        </w:rPr>
                        <w:instrText>PAGE   \* MERGEFORMAT</w:instrText>
                      </w:r>
                      <w:r w:rsidRPr="000A570D">
                        <w:rPr>
                          <w:rFonts w:ascii="Arial" w:hAnsi="Arial" w:cs="Arial"/>
                          <w:color w:val="AE1F23"/>
                          <w:sz w:val="19"/>
                          <w:szCs w:val="19"/>
                        </w:rPr>
                        <w:fldChar w:fldCharType="separate"/>
                      </w:r>
                      <w:r>
                        <w:rPr>
                          <w:rFonts w:ascii="Arial" w:hAnsi="Arial" w:cs="Arial"/>
                          <w:color w:val="AE1F23"/>
                          <w:sz w:val="19"/>
                          <w:szCs w:val="19"/>
                        </w:rPr>
                        <w:t>238</w:t>
                      </w:r>
                      <w:r w:rsidRPr="000A570D">
                        <w:rPr>
                          <w:rFonts w:ascii="Arial" w:hAnsi="Arial" w:cs="Arial"/>
                          <w:color w:val="AE1F23"/>
                          <w:sz w:val="19"/>
                          <w:szCs w:val="19"/>
                        </w:rPr>
                        <w:fldChar w:fldCharType="end"/>
                      </w:r>
                    </w:p>
                    <w:p w14:paraId="2C09A66E" w14:textId="77777777" w:rsidR="00B76087" w:rsidRDefault="00B76087" w:rsidP="00B76087"/>
                  </w:txbxContent>
                </v:textbox>
              </v:shape>
            </v:group>
          </w:pict>
        </mc:Fallback>
      </mc:AlternateContent>
    </w:r>
    <w:r w:rsidRPr="000A570D">
      <w:rPr>
        <w:noProof/>
      </w:rPr>
      <mc:AlternateContent>
        <mc:Choice Requires="wpg">
          <w:drawing>
            <wp:anchor distT="0" distB="0" distL="114300" distR="114300" simplePos="0" relativeHeight="251656192" behindDoc="0" locked="0" layoutInCell="1" allowOverlap="1" wp14:anchorId="311B8F50" wp14:editId="0955BA78">
              <wp:simplePos x="0" y="0"/>
              <wp:positionH relativeFrom="column">
                <wp:posOffset>965200</wp:posOffset>
              </wp:positionH>
              <wp:positionV relativeFrom="paragraph">
                <wp:posOffset>8674100</wp:posOffset>
              </wp:positionV>
              <wp:extent cx="5559425" cy="617220"/>
              <wp:effectExtent l="0" t="0" r="3175" b="0"/>
              <wp:wrapNone/>
              <wp:docPr id="3" name="Grup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9425" cy="617220"/>
                        <a:chOff x="1050" y="15141"/>
                        <a:chExt cx="8755" cy="972"/>
                      </a:xfrm>
                    </wpg:grpSpPr>
                    <wps:wsp>
                      <wps:cNvPr id="1" name="Text Box 3"/>
                      <wps:cNvSpPr txBox="1">
                        <a:spLocks noChangeArrowheads="1"/>
                      </wps:cNvSpPr>
                      <wps:spPr bwMode="auto">
                        <a:xfrm>
                          <a:off x="1050" y="15141"/>
                          <a:ext cx="8755" cy="9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D2CE9" w14:textId="77777777" w:rsidR="00B76087" w:rsidRDefault="00B76087" w:rsidP="00B76087">
                            <w:r>
                              <w:rPr>
                                <w:rFonts w:ascii="Cambria" w:eastAsia="MS Mincho" w:hAnsi="Cambria"/>
                                <w:sz w:val="24"/>
                                <w:szCs w:val="24"/>
                                <w:lang w:eastAsia="it-IT"/>
                              </w:rPr>
                              <w:drawing>
                                <wp:inline distT="0" distB="0" distL="0" distR="0" wp14:anchorId="06491428" wp14:editId="3C96F57C">
                                  <wp:extent cx="4860925" cy="466090"/>
                                  <wp:effectExtent l="0" t="0" r="0" b="0"/>
                                  <wp:docPr id="15" name="Immagine 15" descr="Pi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Pied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860925" cy="46609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5" name="Text Box 4"/>
                      <wps:cNvSpPr txBox="1">
                        <a:spLocks noChangeArrowheads="1"/>
                      </wps:cNvSpPr>
                      <wps:spPr bwMode="auto">
                        <a:xfrm>
                          <a:off x="2010" y="15328"/>
                          <a:ext cx="3943" cy="6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545D4F" w14:textId="77777777" w:rsidR="00B76087" w:rsidRDefault="00B76087" w:rsidP="00B76087">
                            <w:pPr>
                              <w:autoSpaceDE w:val="0"/>
                              <w:autoSpaceDN w:val="0"/>
                              <w:adjustRightInd w:val="0"/>
                              <w:rPr>
                                <w:rFonts w:ascii="Swiss721BT-Black" w:eastAsia="Times New Roman" w:hAnsi="Swiss721BT-Black" w:cs="Swiss721BT-Black"/>
                                <w:color w:val="A60000"/>
                                <w:sz w:val="20"/>
                                <w:szCs w:val="20"/>
                              </w:rPr>
                            </w:pPr>
                            <w:r>
                              <w:rPr>
                                <w:rFonts w:ascii="Swiss721BT-Light" w:eastAsia="Times New Roman" w:hAnsi="Swiss721BT-Light" w:cs="Swiss721BT-Light"/>
                                <w:color w:val="A60000"/>
                                <w:sz w:val="20"/>
                                <w:szCs w:val="20"/>
                              </w:rPr>
                              <w:t xml:space="preserve">Rivista della </w:t>
                            </w:r>
                            <w:r w:rsidRPr="001F336B">
                              <w:rPr>
                                <w:rFonts w:ascii="Swiss721BT-Black" w:eastAsia="Times New Roman" w:hAnsi="Swiss721BT-Black" w:cs="Swiss721BT-Black"/>
                                <w:b/>
                                <w:color w:val="A60000"/>
                                <w:sz w:val="20"/>
                                <w:szCs w:val="20"/>
                                <w:highlight w:val="green"/>
                              </w:rPr>
                              <w:t>Regolazione dei mercati</w:t>
                            </w:r>
                          </w:p>
                          <w:p w14:paraId="6D8C4935" w14:textId="77777777" w:rsidR="00B76087" w:rsidRDefault="00B76087" w:rsidP="00B76087">
                            <w:r>
                              <w:rPr>
                                <w:rFonts w:ascii="Swiss721BT-Light" w:eastAsia="Times New Roman" w:hAnsi="Swiss721BT-Light" w:cs="Swiss721BT-Light"/>
                                <w:color w:val="A60000"/>
                                <w:sz w:val="20"/>
                                <w:szCs w:val="20"/>
                              </w:rPr>
                              <w:t xml:space="preserve">Fascicolo </w:t>
                            </w:r>
                            <w:r w:rsidRPr="001F336B">
                              <w:rPr>
                                <w:rFonts w:ascii="Swiss721BT-Black" w:eastAsia="Times New Roman" w:hAnsi="Swiss721BT-Black" w:cs="Swiss721BT-Black"/>
                                <w:b/>
                                <w:color w:val="A60000"/>
                                <w:sz w:val="20"/>
                                <w:szCs w:val="20"/>
                                <w:highlight w:val="green"/>
                              </w:rPr>
                              <w:t>2</w:t>
                            </w:r>
                            <w:r>
                              <w:rPr>
                                <w:rFonts w:ascii="Swiss721BT-Light" w:eastAsia="Times New Roman" w:hAnsi="Swiss721BT-Light" w:cs="Swiss721BT-Light"/>
                                <w:color w:val="A60000"/>
                                <w:sz w:val="20"/>
                                <w:szCs w:val="20"/>
                              </w:rPr>
                              <w:t>| 2014</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1B8F50" id="_x0000_s1035" style="position:absolute;left:0;text-align:left;margin-left:76pt;margin-top:683pt;width:437.75pt;height:48.6pt;z-index:251656192" coordorigin="1050,15141" coordsize="8755,9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">
              <v:shape id="Text Box 3" o:spid="_x0000_s1036" type="#_x0000_t202" style="position:absolute;left:1050;top:15141;width:8755;height:9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" stroked="f">
                <v:textbox>
                  <w:txbxContent>
                    <w:p w14:paraId="5B8D2CE9" w14:textId="77777777" w:rsidR="00B76087" w:rsidRDefault="00B76087" w:rsidP="00B76087">
                      <w:r>
                        <w:rPr>
                          <w:rFonts w:ascii="Cambria" w:eastAsia="MS Mincho" w:hAnsi="Cambria"/>
                          <w:sz w:val="24"/>
                          <w:szCs w:val="24"/>
                          <w:lang w:eastAsia="it-IT"/>
                        </w:rPr>
                        <w:drawing>
                          <wp:inline distT="0" distB="0" distL="0" distR="0" wp14:anchorId="06491428" wp14:editId="3C96F57C">
                            <wp:extent cx="4860925" cy="466090"/>
                            <wp:effectExtent l="0" t="0" r="0" b="0"/>
                            <wp:docPr id="15" name="Immagine 15" descr="Pi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Pied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860925" cy="466090"/>
                                    </a:xfrm>
                                    <a:prstGeom prst="rect">
                                      <a:avLst/>
                                    </a:prstGeom>
                                    <a:noFill/>
                                    <a:ln>
                                      <a:noFill/>
                                    </a:ln>
                                  </pic:spPr>
                                </pic:pic>
                              </a:graphicData>
                            </a:graphic>
                          </wp:inline>
                        </w:drawing>
                      </w:r>
                    </w:p>
                  </w:txbxContent>
                </v:textbox>
              </v:shape>
              <v:shape id="Text Box 4" o:spid="_x0000_s1037" type="#_x0000_t202" style="position:absolute;left:2010;top:15328;width:3943;height:6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" stroked="f">
                <v:textbox>
                  <w:txbxContent>
                    <w:p w14:paraId="06545D4F" w14:textId="77777777" w:rsidR="00B76087" w:rsidRDefault="00B76087" w:rsidP="00B76087">
                      <w:pPr>
                        <w:autoSpaceDE w:val="0"/>
                        <w:autoSpaceDN w:val="0"/>
                        <w:adjustRightInd w:val="0"/>
                        <w:rPr>
                          <w:rFonts w:ascii="Swiss721BT-Black" w:eastAsia="Times New Roman" w:hAnsi="Swiss721BT-Black" w:cs="Swiss721BT-Black"/>
                          <w:color w:val="A60000"/>
                          <w:sz w:val="20"/>
                          <w:szCs w:val="20"/>
                        </w:rPr>
                      </w:pPr>
                      <w:r>
                        <w:rPr>
                          <w:rFonts w:ascii="Swiss721BT-Light" w:eastAsia="Times New Roman" w:hAnsi="Swiss721BT-Light" w:cs="Swiss721BT-Light"/>
                          <w:color w:val="A60000"/>
                          <w:sz w:val="20"/>
                          <w:szCs w:val="20"/>
                        </w:rPr>
                        <w:t xml:space="preserve">Rivista della </w:t>
                      </w:r>
                      <w:r w:rsidRPr="001F336B">
                        <w:rPr>
                          <w:rFonts w:ascii="Swiss721BT-Black" w:eastAsia="Times New Roman" w:hAnsi="Swiss721BT-Black" w:cs="Swiss721BT-Black"/>
                          <w:b/>
                          <w:color w:val="A60000"/>
                          <w:sz w:val="20"/>
                          <w:szCs w:val="20"/>
                          <w:highlight w:val="green"/>
                        </w:rPr>
                        <w:t>Regolazione dei mercati</w:t>
                      </w:r>
                    </w:p>
                    <w:p w14:paraId="6D8C4935" w14:textId="77777777" w:rsidR="00B76087" w:rsidRDefault="00B76087" w:rsidP="00B76087">
                      <w:r>
                        <w:rPr>
                          <w:rFonts w:ascii="Swiss721BT-Light" w:eastAsia="Times New Roman" w:hAnsi="Swiss721BT-Light" w:cs="Swiss721BT-Light"/>
                          <w:color w:val="A60000"/>
                          <w:sz w:val="20"/>
                          <w:szCs w:val="20"/>
                        </w:rPr>
                        <w:t xml:space="preserve">Fascicolo </w:t>
                      </w:r>
                      <w:r w:rsidRPr="001F336B">
                        <w:rPr>
                          <w:rFonts w:ascii="Swiss721BT-Black" w:eastAsia="Times New Roman" w:hAnsi="Swiss721BT-Black" w:cs="Swiss721BT-Black"/>
                          <w:b/>
                          <w:color w:val="A60000"/>
                          <w:sz w:val="20"/>
                          <w:szCs w:val="20"/>
                          <w:highlight w:val="green"/>
                        </w:rPr>
                        <w:t>2</w:t>
                      </w:r>
                      <w:r>
                        <w:rPr>
                          <w:rFonts w:ascii="Swiss721BT-Light" w:eastAsia="Times New Roman" w:hAnsi="Swiss721BT-Light" w:cs="Swiss721BT-Light"/>
                          <w:color w:val="A60000"/>
                          <w:sz w:val="20"/>
                          <w:szCs w:val="20"/>
                        </w:rPr>
                        <w:t>| 2014</w:t>
                      </w:r>
                    </w:p>
                  </w:txbxContent>
                </v:textbox>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1134"/>
      </w:tblGrid>
      <w:tr w:rsidR="00025301" w:rsidRPr="00C140EF" w14:paraId="4365CECC" w14:textId="77777777" w:rsidTr="008C6A31">
        <w:tc>
          <w:tcPr>
            <w:tcW w:w="1134" w:type="dxa"/>
            <w:tcBorders>
              <w:top w:val="nil"/>
              <w:left w:val="nil"/>
              <w:bottom w:val="single" w:sz="4" w:space="0" w:color="auto"/>
              <w:right w:val="nil"/>
            </w:tcBorders>
            <w:tcMar>
              <w:top w:w="0" w:type="dxa"/>
              <w:left w:w="0" w:type="dxa"/>
              <w:bottom w:w="0" w:type="dxa"/>
              <w:right w:w="0" w:type="dxa"/>
            </w:tcMar>
          </w:tcPr>
          <w:p w14:paraId="0AFA679E" w14:textId="77777777" w:rsidR="00025301" w:rsidRPr="00C140EF" w:rsidRDefault="00025301" w:rsidP="00C140EF">
            <w:pPr>
              <w:spacing w:after="0" w:line="240" w:lineRule="auto"/>
              <w:rPr>
                <w:rFonts w:ascii="Calibri" w:eastAsia="Calibri" w:hAnsi="Calibri" w:cs="Times New Roman"/>
                <w:sz w:val="16"/>
              </w:rPr>
            </w:pPr>
          </w:p>
        </w:tc>
      </w:tr>
    </w:tbl>
    <w:p w14:paraId="33BB3D01" w14:textId="77777777" w:rsidR="00025301" w:rsidRPr="00C140EF" w:rsidRDefault="00025301" w:rsidP="00C140EF">
      <w:pPr>
        <w:spacing w:after="0" w:line="240" w:lineRule="auto"/>
        <w:rPr>
          <w:rFonts w:ascii="Calibri" w:eastAsia="Calibri" w:hAnsi="Calibri" w:cs="Times New Roman"/>
          <w:sz w:val="10"/>
        </w:rPr>
      </w:pPr>
    </w:p>
  </w:footnote>
  <w:footnote w:type="continuationSeparator" w:id="0">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1134"/>
      </w:tblGrid>
      <w:tr w:rsidR="00025301" w:rsidRPr="00C140EF" w14:paraId="61F106B2" w14:textId="77777777" w:rsidTr="008C6A31">
        <w:tc>
          <w:tcPr>
            <w:tcW w:w="1134" w:type="dxa"/>
            <w:tcBorders>
              <w:top w:val="nil"/>
              <w:left w:val="nil"/>
              <w:bottom w:val="single" w:sz="4" w:space="0" w:color="auto"/>
              <w:right w:val="nil"/>
            </w:tcBorders>
            <w:tcMar>
              <w:top w:w="0" w:type="dxa"/>
              <w:left w:w="0" w:type="dxa"/>
              <w:bottom w:w="0" w:type="dxa"/>
              <w:right w:w="0" w:type="dxa"/>
            </w:tcMar>
          </w:tcPr>
          <w:p w14:paraId="772BAF4D" w14:textId="77777777" w:rsidR="00025301" w:rsidRPr="00C140EF" w:rsidRDefault="00025301" w:rsidP="00C140EF">
            <w:pPr>
              <w:spacing w:after="0" w:line="240" w:lineRule="auto"/>
              <w:rPr>
                <w:rFonts w:ascii="Calibri" w:eastAsia="Calibri" w:hAnsi="Calibri" w:cs="Times New Roman"/>
                <w:sz w:val="16"/>
              </w:rPr>
            </w:pPr>
          </w:p>
        </w:tc>
      </w:tr>
    </w:tbl>
    <w:p w14:paraId="769ABFE4" w14:textId="77777777" w:rsidR="00025301" w:rsidRPr="00C140EF" w:rsidRDefault="00025301" w:rsidP="00C140EF">
      <w:pPr>
        <w:spacing w:after="0" w:line="240" w:lineRule="auto"/>
        <w:rPr>
          <w:rFonts w:ascii="Calibri" w:eastAsia="Calibri" w:hAnsi="Calibri" w:cs="Times New Roman"/>
          <w:sz w:val="10"/>
        </w:rPr>
      </w:pPr>
    </w:p>
  </w:footnote>
  <w:footnote w:id="1">
    <w:p w14:paraId="015A3AD4" w14:textId="3A155C17" w:rsidR="00240B56" w:rsidRDefault="00240B56">
      <w:pPr>
        <w:pStyle w:val="Testonotaapidipagina"/>
      </w:pPr>
      <w:r w:rsidRPr="00240B56">
        <w:rPr>
          <w:rStyle w:val="Rimandonotaapidipagina"/>
          <w:highlight w:val="cyan"/>
        </w:rPr>
        <w:t>*</w:t>
      </w:r>
      <w:r w:rsidRPr="00240B56">
        <w:rPr>
          <w:highlight w:val="cyan"/>
        </w:rPr>
        <w:t xml:space="preserve"> Inserire qualifica.</w:t>
      </w:r>
    </w:p>
  </w:footnote>
  <w:footnote w:id="2">
    <w:p w14:paraId="62FCF39B" w14:textId="640B65A3"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cs="Arial"/>
          <w:szCs w:val="18"/>
          <w:vertAlign w:val="superscript"/>
        </w:rPr>
        <w:t> </w:t>
      </w:r>
      <w:r w:rsidRPr="003F2621">
        <w:rPr>
          <w:rFonts w:cs="Arial"/>
          <w:szCs w:val="18"/>
        </w:rPr>
        <w:t xml:space="preserve">Per tali critiche v., tra gli altri, S. </w:t>
      </w:r>
      <w:r w:rsidR="008A3B4E" w:rsidRPr="008A3B4E">
        <w:rPr>
          <w:rFonts w:cs="Arial"/>
          <w:smallCaps/>
          <w:szCs w:val="18"/>
        </w:rPr>
        <w:t>Latouche</w:t>
      </w:r>
      <w:r w:rsidRPr="003F2621">
        <w:rPr>
          <w:rFonts w:cs="Arial"/>
          <w:szCs w:val="18"/>
        </w:rPr>
        <w:t xml:space="preserve">, </w:t>
      </w:r>
      <w:r w:rsidRPr="00410E7F">
        <w:rPr>
          <w:rFonts w:cs="Arial"/>
          <w:i/>
          <w:szCs w:val="18"/>
        </w:rPr>
        <w:t xml:space="preserve">Le pari de la </w:t>
      </w:r>
      <w:proofErr w:type="spellStart"/>
      <w:r w:rsidRPr="00410E7F">
        <w:rPr>
          <w:rFonts w:cs="Arial"/>
          <w:i/>
          <w:szCs w:val="18"/>
        </w:rPr>
        <w:t>décroissance</w:t>
      </w:r>
      <w:proofErr w:type="spellEnd"/>
      <w:r w:rsidRPr="003F2621">
        <w:rPr>
          <w:rFonts w:cs="Arial"/>
          <w:szCs w:val="18"/>
        </w:rPr>
        <w:t xml:space="preserve">, Fayard, Paris, 2006; </w:t>
      </w:r>
      <w:r w:rsidR="00A57397" w:rsidRPr="00D12C31">
        <w:rPr>
          <w:rFonts w:cs="Arial"/>
          <w:smallCaps/>
          <w:szCs w:val="18"/>
        </w:rPr>
        <w:t>Id</w:t>
      </w:r>
      <w:r w:rsidR="00A57397">
        <w:rPr>
          <w:rFonts w:cs="Arial"/>
          <w:smallCaps/>
          <w:szCs w:val="18"/>
        </w:rPr>
        <w:t>.</w:t>
      </w:r>
      <w:r w:rsidRPr="003F2621">
        <w:rPr>
          <w:rFonts w:cs="Arial"/>
          <w:szCs w:val="18"/>
        </w:rPr>
        <w:t xml:space="preserve">, </w:t>
      </w:r>
      <w:r w:rsidRPr="00410E7F">
        <w:rPr>
          <w:rFonts w:cs="Arial"/>
          <w:i/>
          <w:szCs w:val="18"/>
        </w:rPr>
        <w:t>Il paradosso dell’economia ecologica e lo sviluppo sostenibile come ossimoro</w:t>
      </w:r>
      <w:r w:rsidRPr="003F2621">
        <w:rPr>
          <w:rFonts w:cs="Arial"/>
          <w:szCs w:val="18"/>
        </w:rPr>
        <w:t xml:space="preserve">, in </w:t>
      </w:r>
      <w:r w:rsidRPr="00D12C31">
        <w:rPr>
          <w:rFonts w:cs="Arial"/>
          <w:i/>
          <w:iCs/>
          <w:szCs w:val="18"/>
        </w:rPr>
        <w:t>http://www.edscuola.it/archisio/interlinea/paradosso.html</w:t>
      </w:r>
      <w:r w:rsidRPr="003F2621">
        <w:rPr>
          <w:rFonts w:cs="Arial"/>
          <w:szCs w:val="18"/>
        </w:rPr>
        <w:t xml:space="preserve">; D. </w:t>
      </w:r>
      <w:proofErr w:type="spellStart"/>
      <w:r w:rsidR="008A3B4E" w:rsidRPr="008A3B4E">
        <w:rPr>
          <w:rFonts w:cs="Arial"/>
          <w:smallCaps/>
          <w:szCs w:val="18"/>
        </w:rPr>
        <w:t>Tanuro</w:t>
      </w:r>
      <w:proofErr w:type="spellEnd"/>
      <w:r w:rsidRPr="003F2621">
        <w:rPr>
          <w:rFonts w:cs="Arial"/>
          <w:szCs w:val="18"/>
        </w:rPr>
        <w:t xml:space="preserve">, </w:t>
      </w:r>
      <w:r w:rsidRPr="00410E7F">
        <w:rPr>
          <w:rFonts w:cs="Arial"/>
          <w:i/>
          <w:szCs w:val="18"/>
        </w:rPr>
        <w:t>L’impossibile capitalismo verde. Il riscaldamento climatico e le ragioni dell’eco-socialismo</w:t>
      </w:r>
      <w:r w:rsidRPr="003F2621">
        <w:rPr>
          <w:rFonts w:cs="Arial"/>
          <w:szCs w:val="18"/>
        </w:rPr>
        <w:t xml:space="preserve">, Edizioni Alegre, </w:t>
      </w:r>
      <w:r w:rsidR="00D12C31" w:rsidRPr="003F2621">
        <w:rPr>
          <w:rFonts w:cs="Arial"/>
          <w:szCs w:val="18"/>
        </w:rPr>
        <w:t xml:space="preserve">Roma, </w:t>
      </w:r>
      <w:r w:rsidRPr="003F2621">
        <w:rPr>
          <w:rFonts w:cs="Arial"/>
          <w:szCs w:val="18"/>
        </w:rPr>
        <w:t xml:space="preserve">2011. V. anche G. </w:t>
      </w:r>
      <w:r w:rsidR="008A3B4E" w:rsidRPr="008A3B4E">
        <w:rPr>
          <w:rFonts w:cs="Arial"/>
          <w:smallCaps/>
          <w:szCs w:val="18"/>
        </w:rPr>
        <w:t>Montedoro</w:t>
      </w:r>
      <w:r w:rsidRPr="003F2621">
        <w:rPr>
          <w:rFonts w:cs="Arial"/>
          <w:szCs w:val="18"/>
        </w:rPr>
        <w:t xml:space="preserve">, </w:t>
      </w:r>
      <w:r w:rsidRPr="00410E7F">
        <w:rPr>
          <w:rFonts w:cs="Arial"/>
          <w:i/>
          <w:szCs w:val="18"/>
        </w:rPr>
        <w:t>Spunti per la “decostruzione” della nozione di sviluppo sostenibile e per una critica del diritto ambientale</w:t>
      </w:r>
      <w:r w:rsidRPr="003F2621">
        <w:rPr>
          <w:rFonts w:cs="Arial"/>
          <w:szCs w:val="18"/>
        </w:rPr>
        <w:t xml:space="preserve">, in </w:t>
      </w:r>
      <w:r w:rsidRPr="00410E7F">
        <w:rPr>
          <w:rFonts w:cs="Arial"/>
          <w:i/>
          <w:szCs w:val="18"/>
        </w:rPr>
        <w:t>Amministrazione in cammino</w:t>
      </w:r>
      <w:r w:rsidRPr="003F2621">
        <w:rPr>
          <w:rFonts w:cs="Arial"/>
          <w:szCs w:val="18"/>
        </w:rPr>
        <w:t xml:space="preserve">, 2009. Per un’analisi di tali posizioni v. M. </w:t>
      </w:r>
      <w:r w:rsidR="008A3B4E" w:rsidRPr="008A3B4E">
        <w:rPr>
          <w:rFonts w:cs="Arial"/>
          <w:smallCaps/>
          <w:szCs w:val="18"/>
        </w:rPr>
        <w:t>Cafagno</w:t>
      </w:r>
      <w:r w:rsidRPr="003F2621">
        <w:rPr>
          <w:rFonts w:cs="Arial"/>
          <w:szCs w:val="18"/>
        </w:rPr>
        <w:t xml:space="preserve">, </w:t>
      </w:r>
      <w:r w:rsidRPr="00410E7F">
        <w:rPr>
          <w:rFonts w:cs="Arial"/>
          <w:i/>
          <w:szCs w:val="18"/>
        </w:rPr>
        <w:t>Cambiamenti climatici tra strumenti di mercato e potere pubblico</w:t>
      </w:r>
      <w:r w:rsidRPr="003F2621">
        <w:rPr>
          <w:rFonts w:cs="Arial"/>
          <w:szCs w:val="18"/>
        </w:rPr>
        <w:t xml:space="preserve">, in G.F. </w:t>
      </w:r>
      <w:proofErr w:type="spellStart"/>
      <w:r w:rsidR="008A3B4E" w:rsidRPr="008A3B4E">
        <w:rPr>
          <w:rFonts w:cs="Arial"/>
          <w:smallCaps/>
          <w:szCs w:val="18"/>
        </w:rPr>
        <w:t>Cartei</w:t>
      </w:r>
      <w:proofErr w:type="spellEnd"/>
      <w:r w:rsidRPr="003F2621">
        <w:rPr>
          <w:rFonts w:cs="Arial"/>
          <w:szCs w:val="18"/>
        </w:rPr>
        <w:t xml:space="preserve"> (a cura di), </w:t>
      </w:r>
      <w:r w:rsidRPr="00410E7F">
        <w:rPr>
          <w:rFonts w:cs="Arial"/>
          <w:i/>
          <w:szCs w:val="18"/>
        </w:rPr>
        <w:t>Cambiamento climatico e sviluppo sostenibile</w:t>
      </w:r>
      <w:r w:rsidRPr="003F2621">
        <w:rPr>
          <w:rFonts w:cs="Arial"/>
          <w:szCs w:val="18"/>
        </w:rPr>
        <w:t xml:space="preserve">, Giappichelli, Torino, 2013, </w:t>
      </w:r>
      <w:r w:rsidR="00A57397">
        <w:rPr>
          <w:rFonts w:cs="Arial"/>
          <w:szCs w:val="18"/>
        </w:rPr>
        <w:t xml:space="preserve">p. </w:t>
      </w:r>
      <w:r w:rsidRPr="003F2621">
        <w:rPr>
          <w:rFonts w:cs="Arial"/>
          <w:szCs w:val="18"/>
        </w:rPr>
        <w:t xml:space="preserve">105 ss.; </w:t>
      </w:r>
      <w:r w:rsidRPr="00D12C31">
        <w:rPr>
          <w:rFonts w:cs="Arial"/>
          <w:smallCaps/>
          <w:szCs w:val="18"/>
        </w:rPr>
        <w:t>I</w:t>
      </w:r>
      <w:r w:rsidR="00D12C31" w:rsidRPr="00D12C31">
        <w:rPr>
          <w:rFonts w:cs="Arial"/>
          <w:smallCaps/>
          <w:szCs w:val="18"/>
        </w:rPr>
        <w:t>d</w:t>
      </w:r>
      <w:r w:rsidR="00D12C31">
        <w:rPr>
          <w:rFonts w:cs="Arial"/>
          <w:szCs w:val="18"/>
        </w:rPr>
        <w:t>.</w:t>
      </w:r>
      <w:r w:rsidRPr="003F2621">
        <w:rPr>
          <w:rFonts w:cs="Arial"/>
          <w:szCs w:val="18"/>
        </w:rPr>
        <w:t xml:space="preserve">, </w:t>
      </w:r>
      <w:r w:rsidRPr="00410E7F">
        <w:rPr>
          <w:rFonts w:cs="Arial"/>
          <w:i/>
          <w:szCs w:val="18"/>
        </w:rPr>
        <w:t>Analisi economica del diritto e ambiente. Tra metanarrazioni e pragmatismo</w:t>
      </w:r>
      <w:r w:rsidRPr="003F2621">
        <w:rPr>
          <w:rFonts w:cs="Arial"/>
          <w:szCs w:val="18"/>
        </w:rPr>
        <w:t xml:space="preserve">, in </w:t>
      </w:r>
      <w:r w:rsidRPr="00410E7F">
        <w:rPr>
          <w:rFonts w:cs="Arial"/>
          <w:i/>
          <w:szCs w:val="18"/>
        </w:rPr>
        <w:t xml:space="preserve">Dir. </w:t>
      </w:r>
      <w:proofErr w:type="spellStart"/>
      <w:r w:rsidRPr="00410E7F">
        <w:rPr>
          <w:rFonts w:cs="Arial"/>
          <w:i/>
          <w:szCs w:val="18"/>
        </w:rPr>
        <w:t>econ</w:t>
      </w:r>
      <w:proofErr w:type="spellEnd"/>
      <w:r w:rsidRPr="00410E7F">
        <w:rPr>
          <w:rFonts w:cs="Arial"/>
          <w:i/>
          <w:szCs w:val="18"/>
        </w:rPr>
        <w:t>.,</w:t>
      </w:r>
      <w:r w:rsidRPr="003F2621">
        <w:rPr>
          <w:rFonts w:cs="Arial"/>
          <w:szCs w:val="18"/>
        </w:rPr>
        <w:t xml:space="preserve"> 2019,</w:t>
      </w:r>
      <w:r w:rsidR="00A57397">
        <w:rPr>
          <w:rFonts w:cs="Arial"/>
          <w:szCs w:val="18"/>
        </w:rPr>
        <w:t xml:space="preserve"> p.</w:t>
      </w:r>
      <w:r w:rsidRPr="003F2621">
        <w:rPr>
          <w:rFonts w:cs="Arial"/>
          <w:szCs w:val="18"/>
        </w:rPr>
        <w:t xml:space="preserve"> 155 ss.; E. </w:t>
      </w:r>
      <w:r w:rsidR="008A3B4E" w:rsidRPr="008A3B4E">
        <w:rPr>
          <w:rFonts w:cs="Arial"/>
          <w:smallCaps/>
          <w:szCs w:val="18"/>
        </w:rPr>
        <w:t>Scotti</w:t>
      </w:r>
      <w:r w:rsidRPr="003F2621">
        <w:rPr>
          <w:rFonts w:cs="Arial"/>
          <w:szCs w:val="18"/>
        </w:rPr>
        <w:t xml:space="preserve">, </w:t>
      </w:r>
      <w:r w:rsidRPr="00410E7F">
        <w:rPr>
          <w:rFonts w:cs="Arial"/>
          <w:i/>
          <w:szCs w:val="18"/>
        </w:rPr>
        <w:t>Poteri pubblici, sviluppo sostenibile ed economia circolare</w:t>
      </w:r>
      <w:r w:rsidRPr="003F2621">
        <w:rPr>
          <w:rFonts w:cs="Arial"/>
          <w:szCs w:val="18"/>
        </w:rPr>
        <w:t xml:space="preserve">, in </w:t>
      </w:r>
      <w:r w:rsidRPr="00410E7F">
        <w:rPr>
          <w:rFonts w:cs="Arial"/>
          <w:i/>
          <w:szCs w:val="18"/>
        </w:rPr>
        <w:t>Diritto dell’economia</w:t>
      </w:r>
      <w:r w:rsidRPr="003F2621">
        <w:rPr>
          <w:rFonts w:cs="Arial"/>
          <w:szCs w:val="18"/>
        </w:rPr>
        <w:t xml:space="preserve">, 2019, </w:t>
      </w:r>
      <w:r w:rsidR="00A57397">
        <w:rPr>
          <w:rFonts w:cs="Arial"/>
          <w:szCs w:val="18"/>
        </w:rPr>
        <w:t xml:space="preserve">p. </w:t>
      </w:r>
      <w:r w:rsidRPr="003F2621">
        <w:rPr>
          <w:rFonts w:cs="Arial"/>
          <w:szCs w:val="18"/>
        </w:rPr>
        <w:t xml:space="preserve">493 ss.; A. </w:t>
      </w:r>
      <w:r w:rsidR="008A3B4E" w:rsidRPr="008A3B4E">
        <w:rPr>
          <w:rFonts w:cs="Arial"/>
          <w:smallCaps/>
          <w:szCs w:val="18"/>
        </w:rPr>
        <w:t>Moliterni</w:t>
      </w:r>
      <w:r w:rsidRPr="003F2621">
        <w:rPr>
          <w:rFonts w:cs="Arial"/>
          <w:szCs w:val="18"/>
        </w:rPr>
        <w:t xml:space="preserve">, </w:t>
      </w:r>
      <w:r w:rsidRPr="00410E7F">
        <w:rPr>
          <w:rFonts w:cs="Arial"/>
          <w:i/>
          <w:szCs w:val="18"/>
        </w:rPr>
        <w:t>La sfida ambientale e il ruolo dei pubblici poteri in campo economico</w:t>
      </w:r>
      <w:r w:rsidRPr="003F2621">
        <w:rPr>
          <w:rFonts w:cs="Arial"/>
          <w:szCs w:val="18"/>
        </w:rPr>
        <w:t xml:space="preserve">, in </w:t>
      </w:r>
      <w:r w:rsidR="00D12C31" w:rsidRPr="00D12C31">
        <w:rPr>
          <w:rFonts w:cs="Arial"/>
          <w:i/>
          <w:szCs w:val="18"/>
        </w:rPr>
        <w:t>RQDA</w:t>
      </w:r>
      <w:r w:rsidRPr="003F2621">
        <w:rPr>
          <w:rFonts w:cs="Arial"/>
          <w:szCs w:val="18"/>
        </w:rPr>
        <w:t>, 2020, 32 ss.</w:t>
      </w:r>
    </w:p>
  </w:footnote>
  <w:footnote w:id="3">
    <w:p w14:paraId="604C80B1" w14:textId="15C8758E"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al riguardo E. </w:t>
      </w:r>
      <w:r w:rsidR="008A3B4E" w:rsidRPr="008A3B4E">
        <w:rPr>
          <w:rFonts w:eastAsia="Times New Roman" w:cs="Arial"/>
          <w:smallCaps/>
          <w:szCs w:val="18"/>
        </w:rPr>
        <w:t>Chiti</w:t>
      </w:r>
      <w:r w:rsidRPr="003F2621">
        <w:rPr>
          <w:rFonts w:eastAsia="Times New Roman" w:cs="Arial"/>
          <w:szCs w:val="18"/>
        </w:rPr>
        <w:t>,</w:t>
      </w:r>
      <w:r w:rsidRPr="00410E7F">
        <w:rPr>
          <w:rFonts w:eastAsia="Times New Roman" w:cs="Arial"/>
          <w:i/>
          <w:szCs w:val="18"/>
        </w:rPr>
        <w:t xml:space="preserve"> </w:t>
      </w:r>
      <w:proofErr w:type="spellStart"/>
      <w:r w:rsidRPr="00410E7F">
        <w:rPr>
          <w:rFonts w:eastAsia="Times New Roman" w:cs="Arial"/>
          <w:i/>
          <w:szCs w:val="18"/>
        </w:rPr>
        <w:t>Managing</w:t>
      </w:r>
      <w:proofErr w:type="spellEnd"/>
      <w:r w:rsidRPr="00410E7F">
        <w:rPr>
          <w:rFonts w:eastAsia="Times New Roman" w:cs="Arial"/>
          <w:i/>
          <w:szCs w:val="18"/>
        </w:rPr>
        <w:t xml:space="preserve"> the </w:t>
      </w:r>
      <w:proofErr w:type="spellStart"/>
      <w:r w:rsidRPr="00410E7F">
        <w:rPr>
          <w:rFonts w:eastAsia="Times New Roman" w:cs="Arial"/>
          <w:i/>
          <w:szCs w:val="18"/>
        </w:rPr>
        <w:t>Ecological</w:t>
      </w:r>
      <w:proofErr w:type="spellEnd"/>
      <w:r w:rsidRPr="00410E7F">
        <w:rPr>
          <w:rFonts w:eastAsia="Times New Roman" w:cs="Arial"/>
          <w:i/>
          <w:szCs w:val="18"/>
        </w:rPr>
        <w:t xml:space="preserve"> </w:t>
      </w:r>
      <w:proofErr w:type="spellStart"/>
      <w:r w:rsidRPr="00410E7F">
        <w:rPr>
          <w:rFonts w:eastAsia="Times New Roman" w:cs="Arial"/>
          <w:i/>
          <w:szCs w:val="18"/>
        </w:rPr>
        <w:t>Transition</w:t>
      </w:r>
      <w:proofErr w:type="spellEnd"/>
      <w:r w:rsidRPr="00410E7F">
        <w:rPr>
          <w:rFonts w:eastAsia="Times New Roman" w:cs="Arial"/>
          <w:i/>
          <w:szCs w:val="18"/>
        </w:rPr>
        <w:t xml:space="preserve"> of EU: the </w:t>
      </w:r>
      <w:proofErr w:type="spellStart"/>
      <w:r w:rsidRPr="00410E7F">
        <w:rPr>
          <w:rFonts w:eastAsia="Times New Roman" w:cs="Arial"/>
          <w:i/>
          <w:szCs w:val="18"/>
        </w:rPr>
        <w:t>European</w:t>
      </w:r>
      <w:proofErr w:type="spellEnd"/>
      <w:r w:rsidRPr="00410E7F">
        <w:rPr>
          <w:rFonts w:eastAsia="Times New Roman" w:cs="Arial"/>
          <w:i/>
          <w:szCs w:val="18"/>
        </w:rPr>
        <w:t xml:space="preserve"> Green Deal </w:t>
      </w:r>
      <w:proofErr w:type="spellStart"/>
      <w:r w:rsidRPr="00410E7F">
        <w:rPr>
          <w:rFonts w:eastAsia="Times New Roman" w:cs="Arial"/>
          <w:i/>
          <w:szCs w:val="18"/>
        </w:rPr>
        <w:t>as</w:t>
      </w:r>
      <w:proofErr w:type="spellEnd"/>
      <w:r w:rsidRPr="00410E7F">
        <w:rPr>
          <w:rFonts w:eastAsia="Times New Roman" w:cs="Arial"/>
          <w:i/>
          <w:szCs w:val="18"/>
        </w:rPr>
        <w:t xml:space="preserve"> a </w:t>
      </w:r>
      <w:proofErr w:type="spellStart"/>
      <w:r w:rsidRPr="00410E7F">
        <w:rPr>
          <w:rFonts w:eastAsia="Times New Roman" w:cs="Arial"/>
          <w:i/>
          <w:szCs w:val="18"/>
        </w:rPr>
        <w:t>Regulatory</w:t>
      </w:r>
      <w:proofErr w:type="spellEnd"/>
      <w:r w:rsidRPr="00410E7F">
        <w:rPr>
          <w:rFonts w:eastAsia="Times New Roman" w:cs="Arial"/>
          <w:i/>
          <w:szCs w:val="18"/>
        </w:rPr>
        <w:t xml:space="preserve"> </w:t>
      </w:r>
      <w:proofErr w:type="spellStart"/>
      <w:r w:rsidRPr="00410E7F">
        <w:rPr>
          <w:rFonts w:eastAsia="Times New Roman" w:cs="Arial"/>
          <w:i/>
          <w:szCs w:val="18"/>
        </w:rPr>
        <w:t>Process</w:t>
      </w:r>
      <w:proofErr w:type="spellEnd"/>
      <w:r w:rsidRPr="003F2621">
        <w:rPr>
          <w:rFonts w:eastAsia="Times New Roman" w:cs="Arial"/>
          <w:szCs w:val="18"/>
        </w:rPr>
        <w:t xml:space="preserve">, in </w:t>
      </w:r>
      <w:r w:rsidRPr="00410E7F">
        <w:rPr>
          <w:rFonts w:eastAsia="Times New Roman" w:cs="Arial"/>
          <w:i/>
          <w:szCs w:val="18"/>
        </w:rPr>
        <w:t xml:space="preserve">Common Market </w:t>
      </w:r>
      <w:proofErr w:type="spellStart"/>
      <w:r w:rsidRPr="00410E7F">
        <w:rPr>
          <w:rFonts w:eastAsia="Times New Roman" w:cs="Arial"/>
          <w:i/>
          <w:szCs w:val="18"/>
        </w:rPr>
        <w:t>Lax</w:t>
      </w:r>
      <w:proofErr w:type="spellEnd"/>
      <w:r w:rsidRPr="00410E7F">
        <w:rPr>
          <w:rFonts w:eastAsia="Times New Roman" w:cs="Arial"/>
          <w:i/>
          <w:szCs w:val="18"/>
        </w:rPr>
        <w:t xml:space="preserve"> Review</w:t>
      </w:r>
      <w:r w:rsidRPr="003F2621">
        <w:rPr>
          <w:rFonts w:eastAsia="Times New Roman" w:cs="Arial"/>
          <w:szCs w:val="18"/>
        </w:rPr>
        <w:t xml:space="preserve">, 2022, 59, </w:t>
      </w:r>
      <w:r w:rsidR="00A57397">
        <w:rPr>
          <w:rFonts w:eastAsia="Times New Roman" w:cs="Arial"/>
          <w:szCs w:val="18"/>
        </w:rPr>
        <w:t xml:space="preserve">p. </w:t>
      </w:r>
      <w:r w:rsidRPr="003F2621">
        <w:rPr>
          <w:rFonts w:eastAsia="Times New Roman" w:cs="Arial"/>
          <w:szCs w:val="18"/>
        </w:rPr>
        <w:t xml:space="preserve">19 ss.; E.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w:t>
      </w:r>
      <w:r w:rsidRPr="00410E7F">
        <w:rPr>
          <w:rFonts w:eastAsia="Times New Roman" w:cs="Arial"/>
          <w:i/>
          <w:szCs w:val="18"/>
        </w:rPr>
        <w:t xml:space="preserve"> Le politiche di decarbonizzazione e i loro riflessi sulla costituzione economica e sulla governance europea e nazionale</w:t>
      </w:r>
      <w:r w:rsidRPr="003F2621">
        <w:rPr>
          <w:rFonts w:eastAsia="Times New Roman" w:cs="Arial"/>
          <w:szCs w:val="18"/>
        </w:rPr>
        <w:t xml:space="preserve">, in </w:t>
      </w:r>
      <w:r w:rsidRPr="00410E7F">
        <w:rPr>
          <w:rFonts w:eastAsia="Times New Roman" w:cs="Arial"/>
          <w:i/>
          <w:szCs w:val="18"/>
        </w:rPr>
        <w:t>Diritto Pubblico</w:t>
      </w:r>
      <w:r w:rsidRPr="003F2621">
        <w:rPr>
          <w:rFonts w:eastAsia="Times New Roman" w:cs="Arial"/>
          <w:szCs w:val="18"/>
        </w:rPr>
        <w:t xml:space="preserve">, 2021, 2, </w:t>
      </w:r>
      <w:r w:rsidR="00A57397">
        <w:rPr>
          <w:rFonts w:eastAsia="Times New Roman" w:cs="Arial"/>
          <w:szCs w:val="18"/>
        </w:rPr>
        <w:t xml:space="preserve">p. </w:t>
      </w:r>
      <w:r w:rsidRPr="003F2621">
        <w:rPr>
          <w:rFonts w:eastAsia="Times New Roman" w:cs="Arial"/>
          <w:szCs w:val="18"/>
        </w:rPr>
        <w:t>415 ss.</w:t>
      </w:r>
    </w:p>
  </w:footnote>
  <w:footnote w:id="4">
    <w:p w14:paraId="4FBA4889" w14:textId="46528EDE"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È noto che il Regolamento 2021/1119, datato 30 giugno 2021, ha fissato per il 2030 l’obiet</w:t>
      </w:r>
      <w:r w:rsidR="00A57397">
        <w:rPr>
          <w:rFonts w:eastAsia="Times New Roman" w:cs="Arial"/>
          <w:szCs w:val="18"/>
        </w:rPr>
        <w:softHyphen/>
      </w:r>
      <w:r w:rsidRPr="003F2621">
        <w:rPr>
          <w:rFonts w:eastAsia="Times New Roman" w:cs="Arial"/>
          <w:szCs w:val="18"/>
        </w:rPr>
        <w:t>tivo di ridurre le emissioni del 55% rispetto ai livelli del 1990 e per il 2050 (“al più tardi per il 2050”) l’obiettivo di ottenere un azzeramento del bilancio emissivo netto dell’Unione.</w:t>
      </w:r>
    </w:p>
  </w:footnote>
  <w:footnote w:id="5">
    <w:p w14:paraId="6FB80D05" w14:textId="31D8E3AD"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 Pacchetto </w:t>
      </w:r>
      <w:proofErr w:type="spellStart"/>
      <w:r w:rsidRPr="003F2621">
        <w:rPr>
          <w:rFonts w:eastAsia="Times New Roman" w:cs="Arial"/>
          <w:szCs w:val="18"/>
        </w:rPr>
        <w:t>Fit</w:t>
      </w:r>
      <w:proofErr w:type="spellEnd"/>
      <w:r w:rsidRPr="003F2621">
        <w:rPr>
          <w:rFonts w:eastAsia="Times New Roman" w:cs="Arial"/>
          <w:szCs w:val="18"/>
        </w:rPr>
        <w:t xml:space="preserve"> for 55, presentato in data 14 luglio e che conteneva 13 proposte normative, v. in questo fascicolo il Paper “</w:t>
      </w:r>
      <w:r w:rsidRPr="00410E7F">
        <w:rPr>
          <w:rFonts w:eastAsia="Times New Roman" w:cs="Arial"/>
          <w:i/>
          <w:szCs w:val="18"/>
        </w:rPr>
        <w:t>Il "</w:t>
      </w:r>
      <w:proofErr w:type="spellStart"/>
      <w:r w:rsidRPr="00410E7F">
        <w:rPr>
          <w:rFonts w:eastAsia="Times New Roman" w:cs="Arial"/>
          <w:i/>
          <w:szCs w:val="18"/>
        </w:rPr>
        <w:t>Fit</w:t>
      </w:r>
      <w:proofErr w:type="spellEnd"/>
      <w:r w:rsidRPr="00410E7F">
        <w:rPr>
          <w:rFonts w:eastAsia="Times New Roman" w:cs="Arial"/>
          <w:i/>
          <w:szCs w:val="18"/>
        </w:rPr>
        <w:t xml:space="preserve"> for 55" </w:t>
      </w:r>
      <w:proofErr w:type="spellStart"/>
      <w:r w:rsidRPr="00410E7F">
        <w:rPr>
          <w:rFonts w:eastAsia="Times New Roman" w:cs="Arial"/>
          <w:i/>
          <w:szCs w:val="18"/>
        </w:rPr>
        <w:t>unpacked</w:t>
      </w:r>
      <w:proofErr w:type="spellEnd"/>
      <w:r w:rsidRPr="00410E7F">
        <w:rPr>
          <w:rFonts w:eastAsia="Times New Roman" w:cs="Arial"/>
          <w:i/>
          <w:szCs w:val="18"/>
        </w:rPr>
        <w:t>: un’analisi multi-disciplinare degli strumenti e degli obiettivi delle proposte settoriali per la decarbonizzazione dell’economia europea</w:t>
      </w:r>
      <w:r w:rsidRPr="003F2621">
        <w:rPr>
          <w:rFonts w:eastAsia="Times New Roman" w:cs="Arial"/>
          <w:szCs w:val="18"/>
        </w:rPr>
        <w:t xml:space="preserve">”, a cura di B. </w:t>
      </w:r>
      <w:r w:rsidR="008A3B4E" w:rsidRPr="008A3B4E">
        <w:rPr>
          <w:rFonts w:eastAsia="Times New Roman" w:cs="Arial"/>
          <w:smallCaps/>
          <w:szCs w:val="18"/>
        </w:rPr>
        <w:t>Celata</w:t>
      </w:r>
      <w:r w:rsidR="00A57397">
        <w:rPr>
          <w:rFonts w:eastAsia="Times New Roman" w:cs="Arial"/>
          <w:szCs w:val="18"/>
        </w:rPr>
        <w:t>-</w:t>
      </w:r>
      <w:r w:rsidRPr="003F2621">
        <w:rPr>
          <w:rFonts w:eastAsia="Times New Roman" w:cs="Arial"/>
          <w:szCs w:val="18"/>
        </w:rPr>
        <w:t xml:space="preserve">G. </w:t>
      </w:r>
      <w:r w:rsidR="008A3B4E" w:rsidRPr="008A3B4E">
        <w:rPr>
          <w:rFonts w:eastAsia="Times New Roman" w:cs="Arial"/>
          <w:smallCaps/>
          <w:szCs w:val="18"/>
        </w:rPr>
        <w:t>Cavalieri</w:t>
      </w:r>
      <w:r w:rsidR="00A57397">
        <w:rPr>
          <w:rFonts w:eastAsia="Times New Roman" w:cs="Arial"/>
          <w:szCs w:val="18"/>
        </w:rPr>
        <w:t>-</w:t>
      </w:r>
      <w:r w:rsidRPr="003F2621">
        <w:rPr>
          <w:rFonts w:eastAsia="Times New Roman" w:cs="Arial"/>
          <w:szCs w:val="18"/>
        </w:rPr>
        <w:t xml:space="preserve">S. </w:t>
      </w:r>
      <w:r w:rsidR="008A3B4E" w:rsidRPr="008A3B4E">
        <w:rPr>
          <w:rFonts w:eastAsia="Times New Roman" w:cs="Arial"/>
          <w:smallCaps/>
          <w:szCs w:val="18"/>
        </w:rPr>
        <w:t>Franca</w:t>
      </w:r>
      <w:r w:rsidR="00A57397">
        <w:rPr>
          <w:rFonts w:eastAsia="Times New Roman" w:cs="Arial"/>
          <w:szCs w:val="18"/>
        </w:rPr>
        <w:t>-</w:t>
      </w:r>
      <w:r w:rsidRPr="003F2621">
        <w:rPr>
          <w:rFonts w:eastAsia="Times New Roman" w:cs="Arial"/>
          <w:szCs w:val="18"/>
        </w:rPr>
        <w:t xml:space="preserve">M. </w:t>
      </w:r>
      <w:proofErr w:type="spellStart"/>
      <w:r w:rsidR="008A3B4E" w:rsidRPr="008A3B4E">
        <w:rPr>
          <w:rFonts w:eastAsia="Times New Roman" w:cs="Arial"/>
          <w:smallCaps/>
          <w:szCs w:val="18"/>
        </w:rPr>
        <w:t>Gandiglio</w:t>
      </w:r>
      <w:proofErr w:type="spellEnd"/>
      <w:r w:rsidR="00A57397">
        <w:rPr>
          <w:rFonts w:eastAsia="Times New Roman" w:cs="Arial"/>
          <w:szCs w:val="18"/>
        </w:rPr>
        <w:t>-</w:t>
      </w:r>
      <w:r w:rsidRPr="003F2621">
        <w:rPr>
          <w:rFonts w:eastAsia="Times New Roman" w:cs="Arial"/>
          <w:szCs w:val="18"/>
        </w:rPr>
        <w:t xml:space="preserve">A. </w:t>
      </w:r>
      <w:r w:rsidR="008A3B4E" w:rsidRPr="008A3B4E">
        <w:rPr>
          <w:rFonts w:eastAsia="Times New Roman" w:cs="Arial"/>
          <w:smallCaps/>
          <w:szCs w:val="18"/>
        </w:rPr>
        <w:t>Germani</w:t>
      </w:r>
      <w:r w:rsidR="00A57397">
        <w:rPr>
          <w:rFonts w:eastAsia="Times New Roman" w:cs="Arial"/>
          <w:szCs w:val="18"/>
        </w:rPr>
        <w:t>-</w:t>
      </w:r>
      <w:r w:rsidRPr="003F2621">
        <w:rPr>
          <w:rFonts w:eastAsia="Times New Roman" w:cs="Arial"/>
          <w:szCs w:val="18"/>
        </w:rPr>
        <w:t xml:space="preserve">A. </w:t>
      </w:r>
      <w:r w:rsidR="008A3B4E" w:rsidRPr="008A3B4E">
        <w:rPr>
          <w:rFonts w:eastAsia="Times New Roman" w:cs="Arial"/>
          <w:smallCaps/>
          <w:szCs w:val="18"/>
        </w:rPr>
        <w:t>Giorgi</w:t>
      </w:r>
      <w:r w:rsidR="00A57397">
        <w:rPr>
          <w:rFonts w:eastAsia="Times New Roman" w:cs="Arial"/>
          <w:szCs w:val="18"/>
        </w:rPr>
        <w:t>-</w:t>
      </w:r>
      <w:r w:rsidRPr="003F2621">
        <w:rPr>
          <w:rFonts w:eastAsia="Times New Roman" w:cs="Arial"/>
          <w:szCs w:val="18"/>
        </w:rPr>
        <w:t xml:space="preserve">G. </w:t>
      </w:r>
      <w:r w:rsidR="008A3B4E" w:rsidRPr="008A3B4E">
        <w:rPr>
          <w:rFonts w:eastAsia="Times New Roman" w:cs="Arial"/>
          <w:smallCaps/>
          <w:szCs w:val="18"/>
        </w:rPr>
        <w:t>Scarano</w:t>
      </w:r>
      <w:r w:rsidRPr="003F2621">
        <w:rPr>
          <w:rFonts w:eastAsia="Times New Roman" w:cs="Arial"/>
          <w:szCs w:val="18"/>
        </w:rPr>
        <w:t>.</w:t>
      </w:r>
    </w:p>
  </w:footnote>
  <w:footnote w:id="6">
    <w:p w14:paraId="3C2FCC5F" w14:textId="68A99986"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Emblematiche di questo secondo ordine di critiche sono state, in Italia e in altri Paesi, quelle rivolte alla proposta di applicare il meccanismo dell’</w:t>
      </w:r>
      <w:proofErr w:type="spellStart"/>
      <w:r w:rsidRPr="00410E7F">
        <w:rPr>
          <w:rFonts w:eastAsia="Times New Roman" w:cs="Arial"/>
          <w:i/>
          <w:szCs w:val="18"/>
        </w:rPr>
        <w:t>Emission</w:t>
      </w:r>
      <w:proofErr w:type="spellEnd"/>
      <w:r w:rsidRPr="00410E7F">
        <w:rPr>
          <w:rFonts w:eastAsia="Times New Roman" w:cs="Arial"/>
          <w:i/>
          <w:szCs w:val="18"/>
        </w:rPr>
        <w:t xml:space="preserve"> Trade System </w:t>
      </w:r>
      <w:r w:rsidRPr="003F2621">
        <w:rPr>
          <w:rFonts w:eastAsia="Times New Roman" w:cs="Arial"/>
          <w:szCs w:val="18"/>
        </w:rPr>
        <w:t xml:space="preserve">al settore automobilistico e di prevedere in linea generale per tale settore il bando dei combustibili fossili a partire dal 2035. Sulle misure “disruptive” e sulla loro inevitabile necessità per realizzare la transizione ecologica v., tra gli altri, D. </w:t>
      </w:r>
      <w:proofErr w:type="spellStart"/>
      <w:r w:rsidR="008A3B4E" w:rsidRPr="008A3B4E">
        <w:rPr>
          <w:rFonts w:eastAsia="Times New Roman" w:cs="Arial"/>
          <w:smallCaps/>
          <w:szCs w:val="18"/>
        </w:rPr>
        <w:t>Rodrik</w:t>
      </w:r>
      <w:proofErr w:type="spellEnd"/>
      <w:r w:rsidRPr="003F2621">
        <w:rPr>
          <w:rFonts w:eastAsia="Times New Roman" w:cs="Arial"/>
          <w:szCs w:val="18"/>
        </w:rPr>
        <w:t xml:space="preserve">, </w:t>
      </w:r>
      <w:r w:rsidRPr="00410E7F">
        <w:rPr>
          <w:rFonts w:eastAsia="Times New Roman" w:cs="Arial"/>
          <w:i/>
          <w:szCs w:val="18"/>
        </w:rPr>
        <w:t>Green industrial policy</w:t>
      </w:r>
      <w:r w:rsidRPr="003F2621">
        <w:rPr>
          <w:rFonts w:eastAsia="Times New Roman" w:cs="Arial"/>
          <w:szCs w:val="18"/>
        </w:rPr>
        <w:t xml:space="preserve">, in </w:t>
      </w:r>
      <w:r w:rsidRPr="00410E7F">
        <w:rPr>
          <w:rFonts w:eastAsia="Times New Roman" w:cs="Arial"/>
          <w:i/>
          <w:szCs w:val="18"/>
        </w:rPr>
        <w:t xml:space="preserve">Oxford Review of </w:t>
      </w:r>
      <w:proofErr w:type="spellStart"/>
      <w:r w:rsidRPr="00410E7F">
        <w:rPr>
          <w:rFonts w:eastAsia="Times New Roman" w:cs="Arial"/>
          <w:i/>
          <w:szCs w:val="18"/>
        </w:rPr>
        <w:t>Economic</w:t>
      </w:r>
      <w:proofErr w:type="spellEnd"/>
      <w:r w:rsidRPr="00410E7F">
        <w:rPr>
          <w:rFonts w:eastAsia="Times New Roman" w:cs="Arial"/>
          <w:i/>
          <w:szCs w:val="18"/>
        </w:rPr>
        <w:t xml:space="preserve"> Policy</w:t>
      </w:r>
      <w:r w:rsidRPr="003F2621">
        <w:rPr>
          <w:rFonts w:eastAsia="Times New Roman" w:cs="Arial"/>
          <w:szCs w:val="18"/>
        </w:rPr>
        <w:t xml:space="preserve">, 2014, 469 ss.; J.J. </w:t>
      </w:r>
      <w:proofErr w:type="spellStart"/>
      <w:r w:rsidR="008A3B4E" w:rsidRPr="008A3B4E">
        <w:rPr>
          <w:rFonts w:eastAsia="Times New Roman" w:cs="Arial"/>
          <w:smallCaps/>
          <w:szCs w:val="18"/>
        </w:rPr>
        <w:t>Monast</w:t>
      </w:r>
      <w:proofErr w:type="spellEnd"/>
      <w:r w:rsidRPr="003F2621">
        <w:rPr>
          <w:rFonts w:eastAsia="Times New Roman" w:cs="Arial"/>
          <w:szCs w:val="18"/>
        </w:rPr>
        <w:t xml:space="preserve">, </w:t>
      </w:r>
      <w:r w:rsidRPr="00410E7F">
        <w:rPr>
          <w:rFonts w:eastAsia="Times New Roman" w:cs="Arial"/>
          <w:i/>
          <w:szCs w:val="18"/>
        </w:rPr>
        <w:t xml:space="preserve">The </w:t>
      </w:r>
      <w:proofErr w:type="spellStart"/>
      <w:r w:rsidRPr="00410E7F">
        <w:rPr>
          <w:rFonts w:eastAsia="Times New Roman" w:cs="Arial"/>
          <w:i/>
          <w:szCs w:val="18"/>
        </w:rPr>
        <w:t>ends</w:t>
      </w:r>
      <w:proofErr w:type="spellEnd"/>
      <w:r w:rsidRPr="00410E7F">
        <w:rPr>
          <w:rFonts w:eastAsia="Times New Roman" w:cs="Arial"/>
          <w:i/>
          <w:szCs w:val="18"/>
        </w:rPr>
        <w:t xml:space="preserve"> and </w:t>
      </w:r>
      <w:proofErr w:type="spellStart"/>
      <w:r w:rsidRPr="00410E7F">
        <w:rPr>
          <w:rFonts w:eastAsia="Times New Roman" w:cs="Arial"/>
          <w:i/>
          <w:szCs w:val="18"/>
        </w:rPr>
        <w:t>means</w:t>
      </w:r>
      <w:proofErr w:type="spellEnd"/>
      <w:r w:rsidRPr="00410E7F">
        <w:rPr>
          <w:rFonts w:eastAsia="Times New Roman" w:cs="Arial"/>
          <w:i/>
          <w:szCs w:val="18"/>
        </w:rPr>
        <w:t xml:space="preserve"> of </w:t>
      </w:r>
      <w:proofErr w:type="spellStart"/>
      <w:r w:rsidRPr="00410E7F">
        <w:rPr>
          <w:rFonts w:eastAsia="Times New Roman" w:cs="Arial"/>
          <w:i/>
          <w:szCs w:val="18"/>
        </w:rPr>
        <w:t>decarbonization</w:t>
      </w:r>
      <w:proofErr w:type="spellEnd"/>
      <w:r w:rsidRPr="00410E7F">
        <w:rPr>
          <w:rFonts w:eastAsia="Times New Roman" w:cs="Arial"/>
          <w:i/>
          <w:szCs w:val="18"/>
        </w:rPr>
        <w:t xml:space="preserve">: the Green New Deal in </w:t>
      </w:r>
      <w:proofErr w:type="spellStart"/>
      <w:r w:rsidRPr="00410E7F">
        <w:rPr>
          <w:rFonts w:eastAsia="Times New Roman" w:cs="Arial"/>
          <w:i/>
          <w:szCs w:val="18"/>
        </w:rPr>
        <w:t>context</w:t>
      </w:r>
      <w:proofErr w:type="spellEnd"/>
      <w:r w:rsidRPr="003F2621">
        <w:rPr>
          <w:rFonts w:eastAsia="Times New Roman" w:cs="Arial"/>
          <w:szCs w:val="18"/>
        </w:rPr>
        <w:t xml:space="preserve">, in </w:t>
      </w:r>
      <w:proofErr w:type="spellStart"/>
      <w:r w:rsidRPr="00410E7F">
        <w:rPr>
          <w:rFonts w:eastAsia="Times New Roman" w:cs="Arial"/>
          <w:i/>
          <w:szCs w:val="18"/>
        </w:rPr>
        <w:t>Environmental</w:t>
      </w:r>
      <w:proofErr w:type="spellEnd"/>
      <w:r w:rsidRPr="00410E7F">
        <w:rPr>
          <w:rFonts w:eastAsia="Times New Roman" w:cs="Arial"/>
          <w:i/>
          <w:szCs w:val="18"/>
        </w:rPr>
        <w:t xml:space="preserve"> </w:t>
      </w:r>
      <w:proofErr w:type="spellStart"/>
      <w:r w:rsidRPr="00410E7F">
        <w:rPr>
          <w:rFonts w:eastAsia="Times New Roman" w:cs="Arial"/>
          <w:i/>
          <w:szCs w:val="18"/>
        </w:rPr>
        <w:t>Law</w:t>
      </w:r>
      <w:proofErr w:type="spellEnd"/>
      <w:r w:rsidRPr="003F2621">
        <w:rPr>
          <w:rFonts w:eastAsia="Times New Roman" w:cs="Arial"/>
          <w:szCs w:val="18"/>
        </w:rPr>
        <w:t>, 2020, 21 ss.</w:t>
      </w:r>
    </w:p>
  </w:footnote>
  <w:footnote w:id="7">
    <w:p w14:paraId="17FE48FF" w14:textId="02122E74"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la Comunicazione della Commissione dell’8 marzo 2022, </w:t>
      </w:r>
      <w:proofErr w:type="gramStart"/>
      <w:r w:rsidR="00FB31AB" w:rsidRPr="008A3B4E">
        <w:rPr>
          <w:rFonts w:eastAsia="Times New Roman" w:cs="Arial"/>
          <w:smallCaps/>
          <w:szCs w:val="18"/>
        </w:rPr>
        <w:t>COM</w:t>
      </w:r>
      <w:r w:rsidRPr="003F2621">
        <w:rPr>
          <w:rFonts w:eastAsia="Times New Roman" w:cs="Arial"/>
          <w:szCs w:val="18"/>
        </w:rPr>
        <w:t>(</w:t>
      </w:r>
      <w:proofErr w:type="gramEnd"/>
      <w:r w:rsidRPr="003F2621">
        <w:rPr>
          <w:rFonts w:eastAsia="Times New Roman" w:cs="Arial"/>
          <w:szCs w:val="18"/>
        </w:rPr>
        <w:t xml:space="preserve">2022) 108 </w:t>
      </w:r>
      <w:proofErr w:type="spellStart"/>
      <w:r w:rsidRPr="003F2621">
        <w:rPr>
          <w:rFonts w:eastAsia="Times New Roman" w:cs="Arial"/>
          <w:szCs w:val="18"/>
        </w:rPr>
        <w:t>final</w:t>
      </w:r>
      <w:proofErr w:type="spellEnd"/>
      <w:r w:rsidRPr="003F2621">
        <w:rPr>
          <w:rFonts w:eastAsia="Times New Roman" w:cs="Arial"/>
          <w:szCs w:val="18"/>
        </w:rPr>
        <w:t xml:space="preserve">, recante </w:t>
      </w:r>
      <w:proofErr w:type="spellStart"/>
      <w:r w:rsidR="008A3B4E" w:rsidRPr="008A3B4E">
        <w:rPr>
          <w:rFonts w:eastAsia="Times New Roman" w:cs="Arial"/>
          <w:i/>
          <w:smallCaps/>
          <w:szCs w:val="18"/>
        </w:rPr>
        <w:t>Repowereu</w:t>
      </w:r>
      <w:proofErr w:type="spellEnd"/>
      <w:r w:rsidRPr="00410E7F">
        <w:rPr>
          <w:rFonts w:eastAsia="Times New Roman" w:cs="Arial"/>
          <w:i/>
          <w:szCs w:val="18"/>
        </w:rPr>
        <w:t>: azione europea comune per un’energia più sicura, più sostenibile e a prezzi più accessibili</w:t>
      </w:r>
      <w:r w:rsidRPr="003F2621">
        <w:rPr>
          <w:rFonts w:eastAsia="Times New Roman" w:cs="Arial"/>
          <w:szCs w:val="18"/>
        </w:rPr>
        <w:t xml:space="preserve">, e il successivo </w:t>
      </w:r>
      <w:r w:rsidR="00FB31AB" w:rsidRPr="008A3B4E">
        <w:rPr>
          <w:rFonts w:eastAsia="Times New Roman" w:cs="Arial"/>
          <w:smallCaps/>
          <w:szCs w:val="18"/>
        </w:rPr>
        <w:t>REPOWEREU</w:t>
      </w:r>
      <w:r w:rsidR="00FB31AB" w:rsidRPr="003F2621">
        <w:rPr>
          <w:rFonts w:eastAsia="Times New Roman" w:cs="Arial"/>
          <w:szCs w:val="18"/>
        </w:rPr>
        <w:t xml:space="preserve"> </w:t>
      </w:r>
      <w:r w:rsidRPr="003F2621">
        <w:rPr>
          <w:rFonts w:eastAsia="Times New Roman" w:cs="Arial"/>
          <w:szCs w:val="18"/>
        </w:rPr>
        <w:t>Plan del 18 maggio 2022.</w:t>
      </w:r>
    </w:p>
  </w:footnote>
  <w:footnote w:id="8">
    <w:p w14:paraId="08067403" w14:textId="37B08E0A"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In Italia, all’esito di un complesso dibattito, sono state sinora introdotte – nella sostanza e aldilà della loro formale denominazione – due misure di prelievo straordinario sui c.d. extra-profitti delle imprese: quella prevista dall’art. 15-</w:t>
      </w:r>
      <w:r w:rsidRPr="00FB31AB">
        <w:rPr>
          <w:rFonts w:eastAsia="Times New Roman" w:cs="Arial"/>
          <w:i/>
          <w:iCs/>
          <w:szCs w:val="18"/>
        </w:rPr>
        <w:t>bis</w:t>
      </w:r>
      <w:r w:rsidRPr="003F2621">
        <w:rPr>
          <w:rFonts w:eastAsia="Times New Roman" w:cs="Arial"/>
          <w:szCs w:val="18"/>
        </w:rPr>
        <w:t xml:space="preserve"> del </w:t>
      </w:r>
      <w:r w:rsidR="00FB31AB">
        <w:rPr>
          <w:rFonts w:eastAsia="Times New Roman" w:cs="Arial"/>
          <w:szCs w:val="18"/>
        </w:rPr>
        <w:t>d.l.</w:t>
      </w:r>
      <w:r w:rsidRPr="003F2621">
        <w:rPr>
          <w:rFonts w:eastAsia="Times New Roman" w:cs="Arial"/>
          <w:szCs w:val="18"/>
        </w:rPr>
        <w:t xml:space="preserve"> 27 gennaio 2022, n. 4, </w:t>
      </w:r>
      <w:proofErr w:type="spellStart"/>
      <w:r w:rsidRPr="003F2621">
        <w:rPr>
          <w:rFonts w:eastAsia="Times New Roman" w:cs="Arial"/>
          <w:szCs w:val="18"/>
        </w:rPr>
        <w:t>conv</w:t>
      </w:r>
      <w:proofErr w:type="spellEnd"/>
      <w:r w:rsidRPr="003F2621">
        <w:rPr>
          <w:rFonts w:eastAsia="Times New Roman" w:cs="Arial"/>
          <w:szCs w:val="18"/>
        </w:rPr>
        <w:t xml:space="preserve">. con legge 28 marzo 2022, n. 25, che ha applicato un c.d. meccanismo di compensazione a due vie a talune classi di impianti che utilizzano fonti rinnovabili di energia; e quella definita dall’art. 37 del </w:t>
      </w:r>
      <w:r w:rsidR="00FB31AB">
        <w:rPr>
          <w:rFonts w:eastAsia="Times New Roman" w:cs="Arial"/>
          <w:szCs w:val="18"/>
        </w:rPr>
        <w:t>d.l.</w:t>
      </w:r>
      <w:r w:rsidRPr="003F2621">
        <w:rPr>
          <w:rFonts w:eastAsia="Times New Roman" w:cs="Arial"/>
          <w:szCs w:val="18"/>
        </w:rPr>
        <w:t xml:space="preserve"> 21 marzo 2022, n. 21, </w:t>
      </w:r>
      <w:proofErr w:type="spellStart"/>
      <w:r w:rsidRPr="003F2621">
        <w:rPr>
          <w:rFonts w:eastAsia="Times New Roman" w:cs="Arial"/>
          <w:szCs w:val="18"/>
        </w:rPr>
        <w:t>conv</w:t>
      </w:r>
      <w:proofErr w:type="spellEnd"/>
      <w:r w:rsidRPr="003F2621">
        <w:rPr>
          <w:rFonts w:eastAsia="Times New Roman" w:cs="Arial"/>
          <w:szCs w:val="18"/>
        </w:rPr>
        <w:t>. con legge 20 maggio 2022, n. 51, che ha invece imposto alle imprese energetiche un c.d. “</w:t>
      </w:r>
      <w:r w:rsidRPr="00410E7F">
        <w:rPr>
          <w:rFonts w:eastAsia="Times New Roman" w:cs="Arial"/>
          <w:i/>
          <w:szCs w:val="18"/>
        </w:rPr>
        <w:t>contributo straordinario contro il caro bollette</w:t>
      </w:r>
      <w:r w:rsidRPr="003F2621">
        <w:rPr>
          <w:rFonts w:eastAsia="Times New Roman" w:cs="Arial"/>
          <w:szCs w:val="18"/>
        </w:rPr>
        <w:t>”.</w:t>
      </w:r>
    </w:p>
  </w:footnote>
  <w:footnote w:id="9">
    <w:p w14:paraId="392BF635" w14:textId="334D5B93" w:rsidR="00410E7F" w:rsidRPr="002D5069" w:rsidRDefault="00410E7F" w:rsidP="003F2621">
      <w:pPr>
        <w:pStyle w:val="Testonotaapidipagina"/>
        <w:widowControl/>
        <w:rPr>
          <w:rFonts w:eastAsia="Times New Roman" w:cs="Arial"/>
          <w:spacing w:val="2"/>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ancora al riguardo </w:t>
      </w:r>
      <w:r w:rsidR="00FB31AB">
        <w:rPr>
          <w:rFonts w:eastAsia="Times New Roman" w:cs="Arial"/>
          <w:szCs w:val="18"/>
        </w:rPr>
        <w:t xml:space="preserve">E.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 xml:space="preserve">, </w:t>
      </w:r>
      <w:r w:rsidRPr="00410E7F">
        <w:rPr>
          <w:rFonts w:eastAsia="Times New Roman" w:cs="Arial"/>
          <w:i/>
          <w:szCs w:val="18"/>
        </w:rPr>
        <w:t>Le politiche di decarbonizzazione e i loro riflessi sulla costituzione economica e sulla governance europea e nazionale</w:t>
      </w:r>
      <w:r w:rsidRPr="003F2621">
        <w:rPr>
          <w:rFonts w:eastAsia="Times New Roman" w:cs="Arial"/>
          <w:szCs w:val="18"/>
        </w:rPr>
        <w:t xml:space="preserve">, cit., in particolare 424 ss. Ovviamente, il mantenimento delle politiche di concorrenza non esclude che, nel nuovo contesto determinato dal Green Deal europeo, e nel quadro del nuovo modello complessivo di disciplina dei mercati, le stesse non debbano essere oggetto di una nuova riflessione e di un significativo aggiornamento. Che sono in effetti in corso, sia in sede istituzionale (V., DG Concorrenza, </w:t>
      </w:r>
      <w:r w:rsidRPr="00410E7F">
        <w:rPr>
          <w:rFonts w:eastAsia="Times New Roman" w:cs="Arial"/>
          <w:i/>
          <w:szCs w:val="18"/>
        </w:rPr>
        <w:t>La politica della concorrenza a sostegno del Green Deal,</w:t>
      </w:r>
      <w:r w:rsidRPr="003F2621">
        <w:rPr>
          <w:rFonts w:eastAsia="Times New Roman" w:cs="Arial"/>
          <w:szCs w:val="18"/>
        </w:rPr>
        <w:t xml:space="preserve"> 14 ottobre 2020, </w:t>
      </w:r>
      <w:r w:rsidRPr="00615DEC">
        <w:rPr>
          <w:rFonts w:eastAsia="Times New Roman" w:cs="Arial"/>
          <w:i/>
          <w:iCs/>
          <w:szCs w:val="18"/>
        </w:rPr>
        <w:t>https://ec.europa.</w:t>
      </w:r>
      <w:r w:rsidR="00615DEC">
        <w:rPr>
          <w:rFonts w:eastAsia="Times New Roman" w:cs="Arial"/>
          <w:i/>
          <w:iCs/>
          <w:szCs w:val="18"/>
        </w:rPr>
        <w:br/>
      </w:r>
      <w:r w:rsidRPr="00615DEC">
        <w:rPr>
          <w:rFonts w:eastAsia="Times New Roman" w:cs="Arial"/>
          <w:i/>
          <w:iCs/>
          <w:szCs w:val="18"/>
        </w:rPr>
        <w:t>eu/competition/information/green_deal/call_for_contributions_it.pdf</w:t>
      </w:r>
      <w:r w:rsidRPr="003F2621">
        <w:rPr>
          <w:rFonts w:eastAsia="Times New Roman" w:cs="Arial"/>
          <w:szCs w:val="18"/>
        </w:rPr>
        <w:t xml:space="preserve">.) che in sede dottrinale (C. </w:t>
      </w:r>
      <w:r w:rsidR="008A3B4E" w:rsidRPr="002D5069">
        <w:rPr>
          <w:rFonts w:eastAsia="Times New Roman" w:cs="Arial"/>
          <w:smallCaps/>
          <w:spacing w:val="2"/>
          <w:szCs w:val="18"/>
        </w:rPr>
        <w:t>Muraca</w:t>
      </w:r>
      <w:r w:rsidRPr="002D5069">
        <w:rPr>
          <w:rFonts w:eastAsia="Times New Roman" w:cs="Arial"/>
          <w:spacing w:val="2"/>
          <w:szCs w:val="18"/>
        </w:rPr>
        <w:t xml:space="preserve">, </w:t>
      </w:r>
      <w:r w:rsidRPr="002D5069">
        <w:rPr>
          <w:rFonts w:eastAsia="Times New Roman" w:cs="Arial"/>
          <w:i/>
          <w:spacing w:val="2"/>
          <w:szCs w:val="18"/>
        </w:rPr>
        <w:t>Tutela della concorrenza e sostenibilità ambientale: un dialogo difficile ma necessario</w:t>
      </w:r>
      <w:r w:rsidRPr="002D5069">
        <w:rPr>
          <w:rFonts w:eastAsia="Times New Roman" w:cs="Arial"/>
          <w:spacing w:val="2"/>
          <w:szCs w:val="18"/>
        </w:rPr>
        <w:t xml:space="preserve">, in </w:t>
      </w:r>
      <w:r w:rsidR="00615DEC" w:rsidRPr="002D5069">
        <w:rPr>
          <w:rFonts w:eastAsia="Times New Roman" w:cs="Arial"/>
          <w:spacing w:val="2"/>
          <w:szCs w:val="18"/>
        </w:rPr>
        <w:t xml:space="preserve">questa </w:t>
      </w:r>
      <w:r w:rsidRPr="002D5069">
        <w:rPr>
          <w:rFonts w:eastAsia="Times New Roman" w:cs="Arial"/>
          <w:i/>
          <w:spacing w:val="2"/>
          <w:szCs w:val="18"/>
        </w:rPr>
        <w:t>Rivista</w:t>
      </w:r>
      <w:r w:rsidRPr="002D5069">
        <w:rPr>
          <w:rFonts w:eastAsia="Times New Roman" w:cs="Arial"/>
          <w:spacing w:val="2"/>
          <w:szCs w:val="18"/>
        </w:rPr>
        <w:t xml:space="preserve">, 1/2021; e, per una riflessione di carattere più generale, M. </w:t>
      </w:r>
      <w:proofErr w:type="spellStart"/>
      <w:r w:rsidR="008A3B4E" w:rsidRPr="002D5069">
        <w:rPr>
          <w:rFonts w:eastAsia="Times New Roman" w:cs="Arial"/>
          <w:smallCaps/>
          <w:spacing w:val="2"/>
          <w:szCs w:val="18"/>
        </w:rPr>
        <w:t>Ramajoli</w:t>
      </w:r>
      <w:proofErr w:type="spellEnd"/>
      <w:r w:rsidRPr="002D5069">
        <w:rPr>
          <w:rFonts w:eastAsia="Times New Roman" w:cs="Arial"/>
          <w:spacing w:val="2"/>
          <w:szCs w:val="18"/>
        </w:rPr>
        <w:t xml:space="preserve">, </w:t>
      </w:r>
      <w:r w:rsidRPr="002D5069">
        <w:rPr>
          <w:rFonts w:eastAsia="Times New Roman" w:cs="Arial"/>
          <w:i/>
          <w:spacing w:val="2"/>
          <w:szCs w:val="18"/>
        </w:rPr>
        <w:t>Concorrenza (tutela della),</w:t>
      </w:r>
      <w:r w:rsidRPr="002D5069">
        <w:rPr>
          <w:rFonts w:eastAsia="Times New Roman" w:cs="Arial"/>
          <w:spacing w:val="2"/>
          <w:szCs w:val="18"/>
        </w:rPr>
        <w:t xml:space="preserve"> </w:t>
      </w:r>
      <w:r w:rsidRPr="002D5069">
        <w:rPr>
          <w:rFonts w:eastAsia="Times New Roman" w:cs="Arial"/>
          <w:i/>
          <w:spacing w:val="2"/>
          <w:szCs w:val="18"/>
        </w:rPr>
        <w:t xml:space="preserve">ad </w:t>
      </w:r>
      <w:proofErr w:type="spellStart"/>
      <w:r w:rsidRPr="002D5069">
        <w:rPr>
          <w:rFonts w:eastAsia="Times New Roman" w:cs="Arial"/>
          <w:i/>
          <w:spacing w:val="2"/>
          <w:szCs w:val="18"/>
        </w:rPr>
        <w:t>vocem</w:t>
      </w:r>
      <w:proofErr w:type="spellEnd"/>
      <w:r w:rsidRPr="002D5069">
        <w:rPr>
          <w:rFonts w:eastAsia="Times New Roman" w:cs="Arial"/>
          <w:spacing w:val="2"/>
          <w:szCs w:val="18"/>
        </w:rPr>
        <w:t xml:space="preserve">, in </w:t>
      </w:r>
      <w:r w:rsidRPr="002D5069">
        <w:rPr>
          <w:rFonts w:eastAsia="Times New Roman" w:cs="Arial"/>
          <w:i/>
          <w:spacing w:val="2"/>
          <w:szCs w:val="18"/>
        </w:rPr>
        <w:t>Enc. dir</w:t>
      </w:r>
      <w:r w:rsidRPr="002D5069">
        <w:rPr>
          <w:rFonts w:eastAsia="Times New Roman" w:cs="Arial"/>
          <w:spacing w:val="2"/>
          <w:szCs w:val="18"/>
        </w:rPr>
        <w:t xml:space="preserve">., I tematici, </w:t>
      </w:r>
      <w:r w:rsidR="00615DEC" w:rsidRPr="002D5069">
        <w:rPr>
          <w:rFonts w:eastAsia="Times New Roman" w:cs="Arial"/>
          <w:smallCaps/>
          <w:spacing w:val="2"/>
          <w:szCs w:val="18"/>
        </w:rPr>
        <w:t>III</w:t>
      </w:r>
      <w:r w:rsidRPr="002D5069">
        <w:rPr>
          <w:rFonts w:eastAsia="Times New Roman" w:cs="Arial"/>
          <w:spacing w:val="2"/>
          <w:szCs w:val="18"/>
        </w:rPr>
        <w:t xml:space="preserve">, </w:t>
      </w:r>
      <w:r w:rsidRPr="002D5069">
        <w:rPr>
          <w:rFonts w:eastAsia="Times New Roman" w:cs="Arial"/>
          <w:i/>
          <w:spacing w:val="2"/>
          <w:szCs w:val="18"/>
        </w:rPr>
        <w:t>Funzioni amministrative</w:t>
      </w:r>
      <w:r w:rsidRPr="002D5069">
        <w:rPr>
          <w:rFonts w:eastAsia="Times New Roman" w:cs="Arial"/>
          <w:spacing w:val="2"/>
          <w:szCs w:val="18"/>
        </w:rPr>
        <w:t xml:space="preserve">, 2022, </w:t>
      </w:r>
      <w:r w:rsidR="00615DEC" w:rsidRPr="002D5069">
        <w:rPr>
          <w:rFonts w:eastAsia="Times New Roman" w:cs="Arial"/>
          <w:spacing w:val="2"/>
          <w:szCs w:val="18"/>
        </w:rPr>
        <w:t xml:space="preserve">p. </w:t>
      </w:r>
      <w:r w:rsidRPr="002D5069">
        <w:rPr>
          <w:rFonts w:eastAsia="Times New Roman" w:cs="Arial"/>
          <w:spacing w:val="2"/>
          <w:szCs w:val="18"/>
        </w:rPr>
        <w:t>292 ss.)</w:t>
      </w:r>
    </w:p>
  </w:footnote>
  <w:footnote w:id="10">
    <w:p w14:paraId="0768741D" w14:textId="32594968"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ancora la Comunicazione della Commissione </w:t>
      </w:r>
      <w:r w:rsidR="00FB31AB" w:rsidRPr="008A3B4E">
        <w:rPr>
          <w:rFonts w:eastAsia="Times New Roman" w:cs="Arial"/>
          <w:smallCaps/>
          <w:szCs w:val="18"/>
        </w:rPr>
        <w:t>REPOWER</w:t>
      </w:r>
      <w:r w:rsidR="00FB31AB" w:rsidRPr="003F2621">
        <w:rPr>
          <w:rFonts w:eastAsia="Times New Roman" w:cs="Arial"/>
          <w:szCs w:val="18"/>
        </w:rPr>
        <w:t xml:space="preserve"> </w:t>
      </w:r>
      <w:r w:rsidRPr="003F2621">
        <w:rPr>
          <w:rFonts w:eastAsia="Times New Roman" w:cs="Arial"/>
          <w:szCs w:val="18"/>
        </w:rPr>
        <w:t>EU dell’8 marzo 2022, e in particolare gli allegati 1 e 2.</w:t>
      </w:r>
    </w:p>
  </w:footnote>
  <w:footnote w:id="11">
    <w:p w14:paraId="2693FCD6" w14:textId="4BCC3197"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Per una puntuale ricostruzione d’insieme v. S. </w:t>
      </w:r>
      <w:proofErr w:type="spellStart"/>
      <w:r w:rsidR="008A3B4E" w:rsidRPr="008A3B4E">
        <w:rPr>
          <w:rFonts w:eastAsia="Times New Roman" w:cs="Arial"/>
          <w:smallCaps/>
          <w:szCs w:val="18"/>
        </w:rPr>
        <w:t>Nespor</w:t>
      </w:r>
      <w:proofErr w:type="spellEnd"/>
      <w:r w:rsidRPr="003F2621">
        <w:rPr>
          <w:rFonts w:eastAsia="Times New Roman" w:cs="Arial"/>
          <w:szCs w:val="18"/>
        </w:rPr>
        <w:t xml:space="preserve">, </w:t>
      </w:r>
      <w:r w:rsidRPr="00410E7F">
        <w:rPr>
          <w:rFonts w:eastAsia="Times New Roman" w:cs="Arial"/>
          <w:i/>
          <w:szCs w:val="18"/>
        </w:rPr>
        <w:t>La lunga marcia per un accordo globale sul clima: dal Protocollo di Kyoto all’Accordo di Parigi</w:t>
      </w:r>
      <w:r w:rsidRPr="003F2621">
        <w:rPr>
          <w:rFonts w:eastAsia="Times New Roman" w:cs="Arial"/>
          <w:szCs w:val="18"/>
        </w:rPr>
        <w:t xml:space="preserve">, in </w:t>
      </w:r>
      <w:r w:rsidRPr="00410E7F">
        <w:rPr>
          <w:rFonts w:eastAsia="Times New Roman" w:cs="Arial"/>
          <w:i/>
          <w:szCs w:val="18"/>
        </w:rPr>
        <w:t xml:space="preserve">Riv. trim. dir. </w:t>
      </w:r>
      <w:proofErr w:type="spellStart"/>
      <w:r w:rsidRPr="00410E7F">
        <w:rPr>
          <w:rFonts w:eastAsia="Times New Roman" w:cs="Arial"/>
          <w:i/>
          <w:szCs w:val="18"/>
        </w:rPr>
        <w:t>pubbl</w:t>
      </w:r>
      <w:proofErr w:type="spellEnd"/>
      <w:r w:rsidRPr="003F2621">
        <w:rPr>
          <w:rFonts w:eastAsia="Times New Roman" w:cs="Arial"/>
          <w:szCs w:val="18"/>
        </w:rPr>
        <w:t>.</w:t>
      </w:r>
      <w:r w:rsidR="00615DEC">
        <w:rPr>
          <w:rFonts w:eastAsia="Times New Roman" w:cs="Arial"/>
          <w:szCs w:val="18"/>
        </w:rPr>
        <w:t>,</w:t>
      </w:r>
      <w:r w:rsidRPr="003F2621">
        <w:rPr>
          <w:rFonts w:eastAsia="Times New Roman" w:cs="Arial"/>
          <w:szCs w:val="18"/>
        </w:rPr>
        <w:t xml:space="preserve"> 2016. Più di recente, con riferimento al “Glasgow </w:t>
      </w:r>
      <w:proofErr w:type="spellStart"/>
      <w:r w:rsidRPr="003F2621">
        <w:rPr>
          <w:rFonts w:eastAsia="Times New Roman" w:cs="Arial"/>
          <w:szCs w:val="18"/>
        </w:rPr>
        <w:t>Climate</w:t>
      </w:r>
      <w:proofErr w:type="spellEnd"/>
      <w:r w:rsidRPr="003F2621">
        <w:rPr>
          <w:rFonts w:eastAsia="Times New Roman" w:cs="Arial"/>
          <w:szCs w:val="18"/>
        </w:rPr>
        <w:t xml:space="preserve"> </w:t>
      </w:r>
      <w:proofErr w:type="spellStart"/>
      <w:r w:rsidRPr="003F2621">
        <w:rPr>
          <w:rFonts w:eastAsia="Times New Roman" w:cs="Arial"/>
          <w:szCs w:val="18"/>
        </w:rPr>
        <w:t>Pact</w:t>
      </w:r>
      <w:proofErr w:type="spellEnd"/>
      <w:r w:rsidRPr="003F2621">
        <w:rPr>
          <w:rFonts w:eastAsia="Times New Roman" w:cs="Arial"/>
          <w:szCs w:val="18"/>
        </w:rPr>
        <w:t xml:space="preserve">” di novembre 2021, v. T. </w:t>
      </w:r>
      <w:r w:rsidR="008A3B4E" w:rsidRPr="008A3B4E">
        <w:rPr>
          <w:rFonts w:eastAsia="Times New Roman" w:cs="Arial"/>
          <w:smallCaps/>
          <w:szCs w:val="18"/>
        </w:rPr>
        <w:t>Fransen</w:t>
      </w:r>
      <w:r w:rsidR="00615DEC">
        <w:rPr>
          <w:rFonts w:eastAsia="Times New Roman" w:cs="Arial"/>
          <w:szCs w:val="18"/>
        </w:rPr>
        <w:t>-</w:t>
      </w:r>
      <w:r w:rsidRPr="003F2621">
        <w:rPr>
          <w:rFonts w:eastAsia="Times New Roman" w:cs="Arial"/>
          <w:szCs w:val="18"/>
        </w:rPr>
        <w:t xml:space="preserve">K. </w:t>
      </w:r>
      <w:r w:rsidR="008A3B4E" w:rsidRPr="008A3B4E">
        <w:rPr>
          <w:rFonts w:eastAsia="Times New Roman" w:cs="Arial"/>
          <w:smallCaps/>
          <w:szCs w:val="18"/>
        </w:rPr>
        <w:t>Ross</w:t>
      </w:r>
      <w:r w:rsidR="00615DEC">
        <w:rPr>
          <w:rFonts w:eastAsia="Times New Roman" w:cs="Arial"/>
          <w:szCs w:val="18"/>
        </w:rPr>
        <w:t>-</w:t>
      </w:r>
      <w:r w:rsidRPr="003F2621">
        <w:rPr>
          <w:rFonts w:eastAsia="Times New Roman" w:cs="Arial"/>
          <w:szCs w:val="18"/>
        </w:rPr>
        <w:t xml:space="preserve">J. </w:t>
      </w:r>
      <w:proofErr w:type="spellStart"/>
      <w:r w:rsidR="008A3B4E" w:rsidRPr="008A3B4E">
        <w:rPr>
          <w:rFonts w:eastAsia="Times New Roman" w:cs="Arial"/>
          <w:smallCaps/>
          <w:szCs w:val="18"/>
        </w:rPr>
        <w:t>Srouji</w:t>
      </w:r>
      <w:proofErr w:type="spellEnd"/>
      <w:r w:rsidRPr="003F2621">
        <w:rPr>
          <w:rFonts w:eastAsia="Times New Roman" w:cs="Arial"/>
          <w:szCs w:val="18"/>
        </w:rPr>
        <w:t xml:space="preserve">, </w:t>
      </w:r>
      <w:r w:rsidRPr="00410E7F">
        <w:rPr>
          <w:rFonts w:eastAsia="Times New Roman" w:cs="Arial"/>
          <w:i/>
          <w:szCs w:val="18"/>
        </w:rPr>
        <w:t xml:space="preserve">5 Ways the Glasgow </w:t>
      </w:r>
      <w:proofErr w:type="spellStart"/>
      <w:r w:rsidRPr="00410E7F">
        <w:rPr>
          <w:rFonts w:eastAsia="Times New Roman" w:cs="Arial"/>
          <w:i/>
          <w:szCs w:val="18"/>
        </w:rPr>
        <w:t>Climate</w:t>
      </w:r>
      <w:proofErr w:type="spellEnd"/>
      <w:r w:rsidRPr="00410E7F">
        <w:rPr>
          <w:rFonts w:eastAsia="Times New Roman" w:cs="Arial"/>
          <w:i/>
          <w:szCs w:val="18"/>
        </w:rPr>
        <w:t xml:space="preserve"> </w:t>
      </w:r>
      <w:proofErr w:type="spellStart"/>
      <w:r w:rsidRPr="00410E7F">
        <w:rPr>
          <w:rFonts w:eastAsia="Times New Roman" w:cs="Arial"/>
          <w:i/>
          <w:szCs w:val="18"/>
        </w:rPr>
        <w:t>Pact</w:t>
      </w:r>
      <w:proofErr w:type="spellEnd"/>
      <w:r w:rsidRPr="00410E7F">
        <w:rPr>
          <w:rFonts w:eastAsia="Times New Roman" w:cs="Arial"/>
          <w:i/>
          <w:szCs w:val="18"/>
        </w:rPr>
        <w:t xml:space="preserve"> </w:t>
      </w:r>
      <w:proofErr w:type="spellStart"/>
      <w:r w:rsidRPr="00410E7F">
        <w:rPr>
          <w:rFonts w:eastAsia="Times New Roman" w:cs="Arial"/>
          <w:i/>
          <w:szCs w:val="18"/>
        </w:rPr>
        <w:t>Aims</w:t>
      </w:r>
      <w:proofErr w:type="spellEnd"/>
      <w:r w:rsidRPr="00410E7F">
        <w:rPr>
          <w:rFonts w:eastAsia="Times New Roman" w:cs="Arial"/>
          <w:i/>
          <w:szCs w:val="18"/>
        </w:rPr>
        <w:t xml:space="preserve"> to Reduce </w:t>
      </w:r>
      <w:proofErr w:type="spellStart"/>
      <w:r w:rsidRPr="00410E7F">
        <w:rPr>
          <w:rFonts w:eastAsia="Times New Roman" w:cs="Arial"/>
          <w:i/>
          <w:szCs w:val="18"/>
        </w:rPr>
        <w:t>Greenhouse</w:t>
      </w:r>
      <w:proofErr w:type="spellEnd"/>
      <w:r w:rsidRPr="00410E7F">
        <w:rPr>
          <w:rFonts w:eastAsia="Times New Roman" w:cs="Arial"/>
          <w:i/>
          <w:szCs w:val="18"/>
        </w:rPr>
        <w:t xml:space="preserve"> Gas </w:t>
      </w:r>
      <w:proofErr w:type="spellStart"/>
      <w:r w:rsidRPr="00410E7F">
        <w:rPr>
          <w:rFonts w:eastAsia="Times New Roman" w:cs="Arial"/>
          <w:i/>
          <w:szCs w:val="18"/>
        </w:rPr>
        <w:t>Emissions</w:t>
      </w:r>
      <w:proofErr w:type="spellEnd"/>
      <w:r w:rsidRPr="003F2621">
        <w:rPr>
          <w:rFonts w:eastAsia="Times New Roman" w:cs="Arial"/>
          <w:szCs w:val="18"/>
        </w:rPr>
        <w:t xml:space="preserve">, in </w:t>
      </w:r>
      <w:r w:rsidRPr="00615DEC">
        <w:rPr>
          <w:rFonts w:eastAsia="Times New Roman" w:cs="Arial"/>
          <w:i/>
          <w:iCs/>
          <w:szCs w:val="18"/>
        </w:rPr>
        <w:t>https://www.wri.org</w:t>
      </w:r>
      <w:r w:rsidRPr="003F2621">
        <w:rPr>
          <w:rFonts w:eastAsia="Times New Roman" w:cs="Arial"/>
          <w:szCs w:val="18"/>
        </w:rPr>
        <w:t>.</w:t>
      </w:r>
    </w:p>
  </w:footnote>
  <w:footnote w:id="12">
    <w:p w14:paraId="44CC7462" w14:textId="29CE5747" w:rsidR="00410E7F" w:rsidRPr="00410E7F" w:rsidRDefault="00410E7F" w:rsidP="003F2621">
      <w:pPr>
        <w:pStyle w:val="Testonotaapidipagina"/>
        <w:widowControl/>
        <w:rPr>
          <w:rFonts w:eastAsia="Times New Roman" w:cs="Arial"/>
          <w:i/>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 xml:space="preserve">, </w:t>
      </w:r>
      <w:r w:rsidRPr="00410E7F">
        <w:rPr>
          <w:rFonts w:eastAsia="Times New Roman" w:cs="Arial"/>
          <w:i/>
          <w:szCs w:val="18"/>
        </w:rPr>
        <w:t>Le politiche di decarbonizzazione e i loro riflessi sulla costituzione economica e sulla governance europea e nazionale</w:t>
      </w:r>
      <w:r w:rsidRPr="003F2621">
        <w:rPr>
          <w:rFonts w:eastAsia="Times New Roman" w:cs="Arial"/>
          <w:szCs w:val="18"/>
        </w:rPr>
        <w:t xml:space="preserve">, cit., </w:t>
      </w:r>
      <w:r w:rsidR="00615DEC">
        <w:rPr>
          <w:rFonts w:eastAsia="Times New Roman" w:cs="Arial"/>
          <w:szCs w:val="18"/>
        </w:rPr>
        <w:t xml:space="preserve">p. </w:t>
      </w:r>
      <w:r w:rsidRPr="003F2621">
        <w:rPr>
          <w:rFonts w:eastAsia="Times New Roman" w:cs="Arial"/>
          <w:szCs w:val="18"/>
        </w:rPr>
        <w:t xml:space="preserve">415 ss.; nonché </w:t>
      </w:r>
      <w:r w:rsidRPr="00410E7F">
        <w:rPr>
          <w:rFonts w:eastAsia="Times New Roman" w:cs="Arial"/>
          <w:i/>
          <w:szCs w:val="18"/>
        </w:rPr>
        <w:t xml:space="preserve">The </w:t>
      </w:r>
      <w:proofErr w:type="spellStart"/>
      <w:r w:rsidRPr="00410E7F">
        <w:rPr>
          <w:rFonts w:eastAsia="Times New Roman" w:cs="Arial"/>
          <w:i/>
          <w:szCs w:val="18"/>
        </w:rPr>
        <w:t>European</w:t>
      </w:r>
      <w:proofErr w:type="spellEnd"/>
      <w:r w:rsidRPr="00410E7F">
        <w:rPr>
          <w:rFonts w:eastAsia="Times New Roman" w:cs="Arial"/>
          <w:i/>
          <w:szCs w:val="18"/>
        </w:rPr>
        <w:t xml:space="preserve"> </w:t>
      </w:r>
      <w:proofErr w:type="spellStart"/>
      <w:r w:rsidRPr="00410E7F">
        <w:rPr>
          <w:rFonts w:eastAsia="Times New Roman" w:cs="Arial"/>
          <w:i/>
          <w:szCs w:val="18"/>
        </w:rPr>
        <w:t>Climate</w:t>
      </w:r>
      <w:proofErr w:type="spellEnd"/>
      <w:r w:rsidRPr="00410E7F">
        <w:rPr>
          <w:rFonts w:eastAsia="Times New Roman" w:cs="Arial"/>
          <w:i/>
          <w:szCs w:val="18"/>
        </w:rPr>
        <w:t xml:space="preserve"> </w:t>
      </w:r>
      <w:proofErr w:type="spellStart"/>
      <w:r w:rsidRPr="00410E7F">
        <w:rPr>
          <w:rFonts w:eastAsia="Times New Roman" w:cs="Arial"/>
          <w:i/>
          <w:szCs w:val="18"/>
        </w:rPr>
        <w:t>Law</w:t>
      </w:r>
      <w:proofErr w:type="spellEnd"/>
      <w:r w:rsidRPr="00410E7F">
        <w:rPr>
          <w:rFonts w:eastAsia="Times New Roman" w:cs="Arial"/>
          <w:i/>
          <w:szCs w:val="18"/>
        </w:rPr>
        <w:t xml:space="preserve">: Making the social market economy </w:t>
      </w:r>
      <w:proofErr w:type="spellStart"/>
      <w:r w:rsidRPr="00410E7F">
        <w:rPr>
          <w:rFonts w:eastAsia="Times New Roman" w:cs="Arial"/>
          <w:i/>
          <w:szCs w:val="18"/>
        </w:rPr>
        <w:t>Fit</w:t>
      </w:r>
      <w:proofErr w:type="spellEnd"/>
      <w:r w:rsidRPr="00410E7F">
        <w:rPr>
          <w:rFonts w:eastAsia="Times New Roman" w:cs="Arial"/>
          <w:i/>
          <w:szCs w:val="18"/>
        </w:rPr>
        <w:t xml:space="preserve"> for </w:t>
      </w:r>
      <w:proofErr w:type="gramStart"/>
      <w:r w:rsidRPr="00410E7F">
        <w:rPr>
          <w:rFonts w:eastAsia="Times New Roman" w:cs="Arial"/>
          <w:i/>
          <w:szCs w:val="18"/>
        </w:rPr>
        <w:t>55?,</w:t>
      </w:r>
      <w:proofErr w:type="gramEnd"/>
      <w:r w:rsidRPr="00410E7F">
        <w:rPr>
          <w:rFonts w:eastAsia="Times New Roman" w:cs="Arial"/>
          <w:i/>
          <w:szCs w:val="18"/>
        </w:rPr>
        <w:t xml:space="preserve"> </w:t>
      </w:r>
      <w:proofErr w:type="spellStart"/>
      <w:r w:rsidRPr="00410E7F">
        <w:rPr>
          <w:rFonts w:eastAsia="Times New Roman" w:cs="Arial"/>
          <w:i/>
          <w:szCs w:val="18"/>
        </w:rPr>
        <w:t>Editorial</w:t>
      </w:r>
      <w:proofErr w:type="spellEnd"/>
      <w:r w:rsidRPr="00410E7F">
        <w:rPr>
          <w:rFonts w:eastAsia="Times New Roman" w:cs="Arial"/>
          <w:i/>
          <w:szCs w:val="18"/>
        </w:rPr>
        <w:t xml:space="preserve"> </w:t>
      </w:r>
      <w:proofErr w:type="spellStart"/>
      <w:r w:rsidRPr="00410E7F">
        <w:rPr>
          <w:rFonts w:eastAsia="Times New Roman" w:cs="Arial"/>
          <w:i/>
          <w:szCs w:val="18"/>
        </w:rPr>
        <w:t>Comments</w:t>
      </w:r>
      <w:proofErr w:type="spellEnd"/>
      <w:r w:rsidRPr="00410E7F">
        <w:rPr>
          <w:rFonts w:eastAsia="Times New Roman" w:cs="Arial"/>
          <w:i/>
          <w:szCs w:val="18"/>
        </w:rPr>
        <w:t>,</w:t>
      </w:r>
      <w:r w:rsidRPr="003F2621">
        <w:rPr>
          <w:rFonts w:eastAsia="Times New Roman" w:cs="Arial"/>
          <w:szCs w:val="18"/>
        </w:rPr>
        <w:t xml:space="preserve"> in</w:t>
      </w:r>
      <w:r w:rsidRPr="00410E7F">
        <w:rPr>
          <w:rFonts w:eastAsia="Times New Roman" w:cs="Arial"/>
          <w:i/>
          <w:szCs w:val="18"/>
        </w:rPr>
        <w:t xml:space="preserve"> Common Market </w:t>
      </w:r>
      <w:proofErr w:type="spellStart"/>
      <w:r w:rsidRPr="00410E7F">
        <w:rPr>
          <w:rFonts w:eastAsia="Times New Roman" w:cs="Arial"/>
          <w:i/>
          <w:szCs w:val="18"/>
        </w:rPr>
        <w:t>Law</w:t>
      </w:r>
      <w:proofErr w:type="spellEnd"/>
      <w:r w:rsidRPr="00410E7F">
        <w:rPr>
          <w:rFonts w:eastAsia="Times New Roman" w:cs="Arial"/>
          <w:i/>
          <w:szCs w:val="18"/>
        </w:rPr>
        <w:t xml:space="preserve"> Review</w:t>
      </w:r>
      <w:r w:rsidRPr="003F2621">
        <w:rPr>
          <w:rFonts w:eastAsia="Times New Roman" w:cs="Arial"/>
          <w:szCs w:val="18"/>
        </w:rPr>
        <w:t xml:space="preserve">, 2021, 58, </w:t>
      </w:r>
      <w:r w:rsidR="00615DEC">
        <w:rPr>
          <w:rFonts w:eastAsia="Times New Roman" w:cs="Arial"/>
          <w:szCs w:val="18"/>
        </w:rPr>
        <w:t xml:space="preserve">p. </w:t>
      </w:r>
      <w:r w:rsidRPr="003F2621">
        <w:rPr>
          <w:rFonts w:eastAsia="Times New Roman" w:cs="Arial"/>
          <w:szCs w:val="18"/>
        </w:rPr>
        <w:t>1321 ss.</w:t>
      </w:r>
    </w:p>
  </w:footnote>
  <w:footnote w:id="13">
    <w:p w14:paraId="277F4990" w14:textId="11321906"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 tema dell’autoregolazione dei mercati come tratto saliente delle politiche di privatizzazione avviate negli anni ottanta /novanta del Novecento e del modello neo-liberista che le ha in misura non lieve ispirate v. le recenti riflessioni di M.R. </w:t>
      </w:r>
      <w:r w:rsidR="008A3B4E" w:rsidRPr="008A3B4E">
        <w:rPr>
          <w:rFonts w:eastAsia="Times New Roman" w:cs="Arial"/>
          <w:smallCaps/>
          <w:szCs w:val="18"/>
        </w:rPr>
        <w:t>Ferrarese</w:t>
      </w:r>
      <w:r w:rsidRPr="003F2621">
        <w:rPr>
          <w:rFonts w:eastAsia="Times New Roman" w:cs="Arial"/>
          <w:szCs w:val="18"/>
        </w:rPr>
        <w:t xml:space="preserve">, </w:t>
      </w:r>
      <w:r w:rsidRPr="00410E7F">
        <w:rPr>
          <w:rFonts w:eastAsia="Times New Roman" w:cs="Arial"/>
          <w:i/>
          <w:szCs w:val="18"/>
        </w:rPr>
        <w:t>Privatizzazioni, poteri invisibili e infrastrutture giuridiche globali</w:t>
      </w:r>
      <w:r w:rsidRPr="003F2621">
        <w:rPr>
          <w:rFonts w:eastAsia="Times New Roman" w:cs="Arial"/>
          <w:szCs w:val="18"/>
        </w:rPr>
        <w:t xml:space="preserve">, in </w:t>
      </w:r>
      <w:r w:rsidRPr="00410E7F">
        <w:rPr>
          <w:rFonts w:eastAsia="Times New Roman" w:cs="Arial"/>
          <w:i/>
          <w:szCs w:val="18"/>
        </w:rPr>
        <w:t>Diritto Pubblico</w:t>
      </w:r>
      <w:r w:rsidRPr="003F2621">
        <w:rPr>
          <w:rFonts w:eastAsia="Times New Roman" w:cs="Arial"/>
          <w:szCs w:val="18"/>
        </w:rPr>
        <w:t xml:space="preserve">, 2021, 3, </w:t>
      </w:r>
      <w:r w:rsidR="00615DEC">
        <w:rPr>
          <w:rFonts w:eastAsia="Times New Roman" w:cs="Arial"/>
          <w:szCs w:val="18"/>
        </w:rPr>
        <w:t xml:space="preserve">p. </w:t>
      </w:r>
      <w:r w:rsidRPr="003F2621">
        <w:rPr>
          <w:rFonts w:eastAsia="Times New Roman" w:cs="Arial"/>
          <w:szCs w:val="18"/>
        </w:rPr>
        <w:t xml:space="preserve">871 ss. E v. anche K. </w:t>
      </w:r>
      <w:r w:rsidR="008A3B4E" w:rsidRPr="008A3B4E">
        <w:rPr>
          <w:rFonts w:eastAsia="Times New Roman" w:cs="Arial"/>
          <w:smallCaps/>
          <w:szCs w:val="18"/>
        </w:rPr>
        <w:t>Pistor</w:t>
      </w:r>
      <w:r w:rsidRPr="003F2621">
        <w:rPr>
          <w:rFonts w:eastAsia="Times New Roman" w:cs="Arial"/>
          <w:szCs w:val="18"/>
        </w:rPr>
        <w:t xml:space="preserve">, </w:t>
      </w:r>
      <w:r w:rsidRPr="00410E7F">
        <w:rPr>
          <w:rFonts w:eastAsia="Times New Roman" w:cs="Arial"/>
          <w:i/>
          <w:szCs w:val="18"/>
        </w:rPr>
        <w:t>Il codice del capitale. Come il diritto crea ricchezza e disuguaglianza</w:t>
      </w:r>
      <w:r w:rsidRPr="003F2621">
        <w:rPr>
          <w:rFonts w:eastAsia="Times New Roman" w:cs="Arial"/>
          <w:szCs w:val="18"/>
        </w:rPr>
        <w:t xml:space="preserve">, Luiss University Press, </w:t>
      </w:r>
      <w:r w:rsidR="00615DEC" w:rsidRPr="003F2621">
        <w:rPr>
          <w:rFonts w:eastAsia="Times New Roman" w:cs="Arial"/>
          <w:szCs w:val="18"/>
        </w:rPr>
        <w:t xml:space="preserve">Roma, </w:t>
      </w:r>
      <w:r w:rsidRPr="003F2621">
        <w:rPr>
          <w:rFonts w:eastAsia="Times New Roman" w:cs="Arial"/>
          <w:szCs w:val="18"/>
        </w:rPr>
        <w:t>2021.</w:t>
      </w:r>
    </w:p>
  </w:footnote>
  <w:footnote w:id="14">
    <w:p w14:paraId="014B73F8" w14:textId="0232C9C5"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al riguardo A. </w:t>
      </w:r>
      <w:r w:rsidR="008A3B4E" w:rsidRPr="008A3B4E">
        <w:rPr>
          <w:rFonts w:eastAsia="Times New Roman" w:cs="Arial"/>
          <w:smallCaps/>
          <w:szCs w:val="18"/>
        </w:rPr>
        <w:t>Moliterni</w:t>
      </w:r>
      <w:r w:rsidRPr="003F2621">
        <w:rPr>
          <w:rFonts w:eastAsia="Times New Roman" w:cs="Arial"/>
          <w:szCs w:val="18"/>
        </w:rPr>
        <w:t xml:space="preserve">, </w:t>
      </w:r>
      <w:r w:rsidRPr="00410E7F">
        <w:rPr>
          <w:rFonts w:eastAsia="Times New Roman" w:cs="Arial"/>
          <w:i/>
          <w:szCs w:val="18"/>
        </w:rPr>
        <w:t>La sfida ambientale e il ruolo dei pubblici poteri in campo economico</w:t>
      </w:r>
      <w:r w:rsidRPr="003F2621">
        <w:rPr>
          <w:rFonts w:eastAsia="Times New Roman" w:cs="Arial"/>
          <w:szCs w:val="18"/>
        </w:rPr>
        <w:t xml:space="preserve">, in </w:t>
      </w:r>
      <w:r w:rsidRPr="00410E7F">
        <w:rPr>
          <w:rFonts w:eastAsia="Times New Roman" w:cs="Arial"/>
          <w:i/>
          <w:szCs w:val="18"/>
        </w:rPr>
        <w:t xml:space="preserve">Riv. </w:t>
      </w:r>
      <w:proofErr w:type="spellStart"/>
      <w:r w:rsidRPr="00410E7F">
        <w:rPr>
          <w:rFonts w:eastAsia="Times New Roman" w:cs="Arial"/>
          <w:i/>
          <w:szCs w:val="18"/>
        </w:rPr>
        <w:t>quadr</w:t>
      </w:r>
      <w:proofErr w:type="spellEnd"/>
      <w:r w:rsidRPr="00410E7F">
        <w:rPr>
          <w:rFonts w:eastAsia="Times New Roman" w:cs="Arial"/>
          <w:i/>
          <w:szCs w:val="18"/>
        </w:rPr>
        <w:t xml:space="preserve">. dir. </w:t>
      </w:r>
      <w:proofErr w:type="spellStart"/>
      <w:r w:rsidRPr="00410E7F">
        <w:rPr>
          <w:rFonts w:eastAsia="Times New Roman" w:cs="Arial"/>
          <w:i/>
          <w:szCs w:val="18"/>
        </w:rPr>
        <w:t>amb</w:t>
      </w:r>
      <w:proofErr w:type="spellEnd"/>
      <w:r w:rsidRPr="00410E7F">
        <w:rPr>
          <w:rFonts w:eastAsia="Times New Roman" w:cs="Arial"/>
          <w:i/>
          <w:szCs w:val="18"/>
        </w:rPr>
        <w:t>.</w:t>
      </w:r>
      <w:r w:rsidRPr="003F2621">
        <w:rPr>
          <w:rFonts w:eastAsia="Times New Roman" w:cs="Arial"/>
          <w:szCs w:val="18"/>
        </w:rPr>
        <w:t xml:space="preserve">, 2020, </w:t>
      </w:r>
      <w:r w:rsidR="00615DEC">
        <w:rPr>
          <w:rFonts w:eastAsia="Times New Roman" w:cs="Arial"/>
          <w:szCs w:val="18"/>
        </w:rPr>
        <w:t xml:space="preserve">p. </w:t>
      </w:r>
      <w:r w:rsidRPr="003F2621">
        <w:rPr>
          <w:rFonts w:eastAsia="Times New Roman" w:cs="Arial"/>
          <w:szCs w:val="18"/>
        </w:rPr>
        <w:t xml:space="preserve">32 ss.; </w:t>
      </w:r>
      <w:r w:rsidR="00615DEC">
        <w:rPr>
          <w:rFonts w:eastAsia="Times New Roman" w:cs="Arial"/>
          <w:szCs w:val="18"/>
        </w:rPr>
        <w:t xml:space="preserve">E. </w:t>
      </w:r>
      <w:r w:rsidR="008A3B4E" w:rsidRPr="008A3B4E">
        <w:rPr>
          <w:rFonts w:eastAsia="Times New Roman" w:cs="Arial"/>
          <w:smallCaps/>
          <w:szCs w:val="18"/>
        </w:rPr>
        <w:t>Chiti</w:t>
      </w:r>
      <w:r w:rsidRPr="003F2621">
        <w:rPr>
          <w:rFonts w:eastAsia="Times New Roman" w:cs="Arial"/>
          <w:szCs w:val="18"/>
        </w:rPr>
        <w:t>,</w:t>
      </w:r>
      <w:r w:rsidRPr="00410E7F">
        <w:rPr>
          <w:rFonts w:eastAsia="Times New Roman" w:cs="Arial"/>
          <w:i/>
          <w:szCs w:val="18"/>
        </w:rPr>
        <w:t xml:space="preserve"> </w:t>
      </w:r>
      <w:proofErr w:type="spellStart"/>
      <w:r w:rsidRPr="00410E7F">
        <w:rPr>
          <w:rFonts w:eastAsia="Times New Roman" w:cs="Arial"/>
          <w:i/>
          <w:szCs w:val="18"/>
        </w:rPr>
        <w:t>Managing</w:t>
      </w:r>
      <w:proofErr w:type="spellEnd"/>
      <w:r w:rsidRPr="00410E7F">
        <w:rPr>
          <w:rFonts w:eastAsia="Times New Roman" w:cs="Arial"/>
          <w:i/>
          <w:szCs w:val="18"/>
        </w:rPr>
        <w:t xml:space="preserve"> the </w:t>
      </w:r>
      <w:proofErr w:type="spellStart"/>
      <w:r w:rsidRPr="00410E7F">
        <w:rPr>
          <w:rFonts w:eastAsia="Times New Roman" w:cs="Arial"/>
          <w:i/>
          <w:szCs w:val="18"/>
        </w:rPr>
        <w:t>Ecological</w:t>
      </w:r>
      <w:proofErr w:type="spellEnd"/>
      <w:r w:rsidRPr="00410E7F">
        <w:rPr>
          <w:rFonts w:eastAsia="Times New Roman" w:cs="Arial"/>
          <w:i/>
          <w:szCs w:val="18"/>
        </w:rPr>
        <w:t xml:space="preserve"> </w:t>
      </w:r>
      <w:proofErr w:type="spellStart"/>
      <w:r w:rsidRPr="00410E7F">
        <w:rPr>
          <w:rFonts w:eastAsia="Times New Roman" w:cs="Arial"/>
          <w:i/>
          <w:szCs w:val="18"/>
        </w:rPr>
        <w:t>Transition</w:t>
      </w:r>
      <w:proofErr w:type="spellEnd"/>
      <w:r w:rsidRPr="00410E7F">
        <w:rPr>
          <w:rFonts w:eastAsia="Times New Roman" w:cs="Arial"/>
          <w:i/>
          <w:szCs w:val="18"/>
        </w:rPr>
        <w:t xml:space="preserve"> of EU: the </w:t>
      </w:r>
      <w:proofErr w:type="spellStart"/>
      <w:r w:rsidRPr="00410E7F">
        <w:rPr>
          <w:rFonts w:eastAsia="Times New Roman" w:cs="Arial"/>
          <w:i/>
          <w:szCs w:val="18"/>
        </w:rPr>
        <w:t>European</w:t>
      </w:r>
      <w:proofErr w:type="spellEnd"/>
      <w:r w:rsidRPr="00410E7F">
        <w:rPr>
          <w:rFonts w:eastAsia="Times New Roman" w:cs="Arial"/>
          <w:i/>
          <w:szCs w:val="18"/>
        </w:rPr>
        <w:t xml:space="preserve"> Green Deal </w:t>
      </w:r>
      <w:proofErr w:type="spellStart"/>
      <w:r w:rsidRPr="00410E7F">
        <w:rPr>
          <w:rFonts w:eastAsia="Times New Roman" w:cs="Arial"/>
          <w:i/>
          <w:szCs w:val="18"/>
        </w:rPr>
        <w:t>as</w:t>
      </w:r>
      <w:proofErr w:type="spellEnd"/>
      <w:r w:rsidRPr="00410E7F">
        <w:rPr>
          <w:rFonts w:eastAsia="Times New Roman" w:cs="Arial"/>
          <w:i/>
          <w:szCs w:val="18"/>
        </w:rPr>
        <w:t xml:space="preserve"> a </w:t>
      </w:r>
      <w:proofErr w:type="spellStart"/>
      <w:r w:rsidRPr="00410E7F">
        <w:rPr>
          <w:rFonts w:eastAsia="Times New Roman" w:cs="Arial"/>
          <w:i/>
          <w:szCs w:val="18"/>
        </w:rPr>
        <w:t>Regulatory</w:t>
      </w:r>
      <w:proofErr w:type="spellEnd"/>
      <w:r w:rsidRPr="00410E7F">
        <w:rPr>
          <w:rFonts w:eastAsia="Times New Roman" w:cs="Arial"/>
          <w:i/>
          <w:szCs w:val="18"/>
        </w:rPr>
        <w:t xml:space="preserve"> </w:t>
      </w:r>
      <w:proofErr w:type="spellStart"/>
      <w:r w:rsidRPr="00410E7F">
        <w:rPr>
          <w:rFonts w:eastAsia="Times New Roman" w:cs="Arial"/>
          <w:i/>
          <w:szCs w:val="18"/>
        </w:rPr>
        <w:t>Process</w:t>
      </w:r>
      <w:proofErr w:type="spellEnd"/>
      <w:r w:rsidRPr="003F2621">
        <w:rPr>
          <w:rFonts w:eastAsia="Times New Roman" w:cs="Arial"/>
          <w:szCs w:val="18"/>
        </w:rPr>
        <w:t xml:space="preserve">, cit., </w:t>
      </w:r>
      <w:r w:rsidR="00615DEC">
        <w:rPr>
          <w:rFonts w:eastAsia="Times New Roman" w:cs="Arial"/>
          <w:szCs w:val="18"/>
        </w:rPr>
        <w:t xml:space="preserve">p. </w:t>
      </w:r>
      <w:r w:rsidRPr="003F2621">
        <w:rPr>
          <w:rFonts w:eastAsia="Times New Roman" w:cs="Arial"/>
          <w:szCs w:val="18"/>
        </w:rPr>
        <w:t>19 ss.</w:t>
      </w:r>
      <w:r w:rsidR="00615DEC">
        <w:rPr>
          <w:rFonts w:eastAsia="Times New Roman" w:cs="Arial"/>
          <w:szCs w:val="18"/>
        </w:rPr>
        <w:t xml:space="preserve"> </w:t>
      </w:r>
    </w:p>
  </w:footnote>
  <w:footnote w:id="15">
    <w:p w14:paraId="1BA108FD" w14:textId="5EBB6BCA"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la già citata Comunicazione </w:t>
      </w:r>
      <w:r w:rsidR="00615DEC" w:rsidRPr="008A3B4E">
        <w:rPr>
          <w:rFonts w:eastAsia="Times New Roman" w:cs="Arial"/>
          <w:smallCaps/>
          <w:szCs w:val="18"/>
        </w:rPr>
        <w:t>REPOWER</w:t>
      </w:r>
      <w:r w:rsidR="00615DEC" w:rsidRPr="003F2621">
        <w:rPr>
          <w:rFonts w:eastAsia="Times New Roman" w:cs="Arial"/>
          <w:szCs w:val="18"/>
        </w:rPr>
        <w:t xml:space="preserve"> </w:t>
      </w:r>
      <w:r w:rsidRPr="003F2621">
        <w:rPr>
          <w:rFonts w:eastAsia="Times New Roman" w:cs="Arial"/>
          <w:szCs w:val="18"/>
        </w:rPr>
        <w:t>EU dell’8 marzo 2022 al par. 2.2.3.</w:t>
      </w:r>
    </w:p>
  </w:footnote>
  <w:footnote w:id="16">
    <w:p w14:paraId="6F6E4415" w14:textId="55AB3818"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La ricaduta più importante è l’istituzione di un ministero appositamente preposto alla transizione ecologica, che accorpa anche funzioni precedentemente affidate ai ministri dell’industria (o dello sviluppo economico). Al riguardo, v. A. </w:t>
      </w:r>
      <w:r w:rsidR="008A3B4E" w:rsidRPr="008A3B4E">
        <w:rPr>
          <w:rFonts w:eastAsia="Times New Roman" w:cs="Arial"/>
          <w:smallCaps/>
          <w:szCs w:val="18"/>
        </w:rPr>
        <w:t>Moliterni</w:t>
      </w:r>
      <w:r w:rsidRPr="003F2621">
        <w:rPr>
          <w:rFonts w:eastAsia="Times New Roman" w:cs="Arial"/>
          <w:szCs w:val="18"/>
        </w:rPr>
        <w:t xml:space="preserve">, </w:t>
      </w:r>
      <w:r w:rsidRPr="00410E7F">
        <w:rPr>
          <w:rFonts w:eastAsia="Times New Roman" w:cs="Arial"/>
          <w:i/>
          <w:szCs w:val="18"/>
        </w:rPr>
        <w:t xml:space="preserve">Il Ministero della transizione ecologica: una proiezione organizzativa del principio di </w:t>
      </w:r>
      <w:proofErr w:type="gramStart"/>
      <w:r w:rsidRPr="00410E7F">
        <w:rPr>
          <w:rFonts w:eastAsia="Times New Roman" w:cs="Arial"/>
          <w:i/>
          <w:szCs w:val="18"/>
        </w:rPr>
        <w:t>integrazione?</w:t>
      </w:r>
      <w:r w:rsidRPr="003F2621">
        <w:rPr>
          <w:rFonts w:eastAsia="Times New Roman" w:cs="Arial"/>
          <w:szCs w:val="18"/>
        </w:rPr>
        <w:t>,</w:t>
      </w:r>
      <w:proofErr w:type="gramEnd"/>
      <w:r w:rsidRPr="003F2621">
        <w:rPr>
          <w:rFonts w:eastAsia="Times New Roman" w:cs="Arial"/>
          <w:szCs w:val="18"/>
        </w:rPr>
        <w:t xml:space="preserve"> in </w:t>
      </w:r>
      <w:r w:rsidRPr="00410E7F">
        <w:rPr>
          <w:rFonts w:eastAsia="Times New Roman" w:cs="Arial"/>
          <w:i/>
          <w:szCs w:val="18"/>
        </w:rPr>
        <w:t xml:space="preserve">Il Giornale di dir. </w:t>
      </w:r>
      <w:proofErr w:type="spellStart"/>
      <w:r w:rsidRPr="00410E7F">
        <w:rPr>
          <w:rFonts w:eastAsia="Times New Roman" w:cs="Arial"/>
          <w:i/>
          <w:szCs w:val="18"/>
        </w:rPr>
        <w:t>amm</w:t>
      </w:r>
      <w:proofErr w:type="spellEnd"/>
      <w:r w:rsidRPr="00410E7F">
        <w:rPr>
          <w:rFonts w:eastAsia="Times New Roman" w:cs="Arial"/>
          <w:i/>
          <w:szCs w:val="18"/>
        </w:rPr>
        <w:t>.,</w:t>
      </w:r>
      <w:r w:rsidRPr="003F2621">
        <w:rPr>
          <w:rFonts w:eastAsia="Times New Roman" w:cs="Arial"/>
          <w:szCs w:val="18"/>
        </w:rPr>
        <w:t xml:space="preserve"> 2021, p. 439 ss.; E.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 xml:space="preserve">, </w:t>
      </w:r>
      <w:r w:rsidRPr="00410E7F">
        <w:rPr>
          <w:rFonts w:eastAsia="Times New Roman" w:cs="Arial"/>
          <w:i/>
          <w:szCs w:val="18"/>
        </w:rPr>
        <w:t>Industria</w:t>
      </w:r>
      <w:r w:rsidRPr="003F2621">
        <w:rPr>
          <w:rFonts w:eastAsia="Times New Roman" w:cs="Arial"/>
          <w:szCs w:val="18"/>
        </w:rPr>
        <w:t xml:space="preserve">, ad </w:t>
      </w:r>
      <w:proofErr w:type="spellStart"/>
      <w:r w:rsidRPr="003F2621">
        <w:rPr>
          <w:rFonts w:eastAsia="Times New Roman" w:cs="Arial"/>
          <w:szCs w:val="18"/>
        </w:rPr>
        <w:t>vocem</w:t>
      </w:r>
      <w:proofErr w:type="spellEnd"/>
      <w:r w:rsidRPr="003F2621">
        <w:rPr>
          <w:rFonts w:eastAsia="Times New Roman" w:cs="Arial"/>
          <w:szCs w:val="18"/>
        </w:rPr>
        <w:t xml:space="preserve">, in </w:t>
      </w:r>
      <w:r w:rsidRPr="00410E7F">
        <w:rPr>
          <w:rFonts w:eastAsia="Times New Roman" w:cs="Arial"/>
          <w:i/>
          <w:szCs w:val="18"/>
        </w:rPr>
        <w:t>Enc. dir</w:t>
      </w:r>
      <w:r w:rsidRPr="003F2621">
        <w:rPr>
          <w:rFonts w:eastAsia="Times New Roman" w:cs="Arial"/>
          <w:szCs w:val="18"/>
        </w:rPr>
        <w:t xml:space="preserve">., I tematici, </w:t>
      </w:r>
      <w:r w:rsidR="00615DEC" w:rsidRPr="008A3B4E">
        <w:rPr>
          <w:rFonts w:eastAsia="Times New Roman" w:cs="Arial"/>
          <w:smallCaps/>
          <w:szCs w:val="18"/>
        </w:rPr>
        <w:t>III</w:t>
      </w:r>
      <w:r w:rsidRPr="003F2621">
        <w:rPr>
          <w:rFonts w:eastAsia="Times New Roman" w:cs="Arial"/>
          <w:szCs w:val="18"/>
        </w:rPr>
        <w:t xml:space="preserve">, </w:t>
      </w:r>
      <w:r w:rsidRPr="00410E7F">
        <w:rPr>
          <w:rFonts w:eastAsia="Times New Roman" w:cs="Arial"/>
          <w:i/>
          <w:szCs w:val="18"/>
        </w:rPr>
        <w:t>Funzioni amministrative</w:t>
      </w:r>
      <w:r w:rsidRPr="003F2621">
        <w:rPr>
          <w:rFonts w:eastAsia="Times New Roman" w:cs="Arial"/>
          <w:szCs w:val="18"/>
        </w:rPr>
        <w:t xml:space="preserve">, 2022, </w:t>
      </w:r>
      <w:r w:rsidR="00615DEC">
        <w:rPr>
          <w:rFonts w:eastAsia="Times New Roman" w:cs="Arial"/>
          <w:szCs w:val="18"/>
        </w:rPr>
        <w:t xml:space="preserve">p. </w:t>
      </w:r>
      <w:r w:rsidRPr="003F2621">
        <w:rPr>
          <w:rFonts w:eastAsia="Times New Roman" w:cs="Arial"/>
          <w:szCs w:val="18"/>
        </w:rPr>
        <w:t xml:space="preserve">654 ss., in part. </w:t>
      </w:r>
      <w:r w:rsidR="00615DEC">
        <w:rPr>
          <w:rFonts w:eastAsia="Times New Roman" w:cs="Arial"/>
          <w:szCs w:val="18"/>
        </w:rPr>
        <w:t xml:space="preserve">p. </w:t>
      </w:r>
      <w:r w:rsidRPr="003F2621">
        <w:rPr>
          <w:rFonts w:eastAsia="Times New Roman" w:cs="Arial"/>
          <w:szCs w:val="18"/>
        </w:rPr>
        <w:t>666.</w:t>
      </w:r>
    </w:p>
  </w:footnote>
  <w:footnote w:id="17">
    <w:p w14:paraId="0B88AD24" w14:textId="2ED81124"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Sull’economia circolare v. F. </w:t>
      </w:r>
      <w:r w:rsidR="008A3B4E" w:rsidRPr="008A3B4E">
        <w:rPr>
          <w:rFonts w:eastAsia="Times New Roman" w:cs="Arial"/>
          <w:smallCaps/>
          <w:szCs w:val="18"/>
        </w:rPr>
        <w:t>De</w:t>
      </w:r>
      <w:r w:rsidRPr="003F2621">
        <w:rPr>
          <w:rFonts w:eastAsia="Times New Roman" w:cs="Arial"/>
          <w:szCs w:val="18"/>
        </w:rPr>
        <w:t xml:space="preserve"> </w:t>
      </w:r>
      <w:r w:rsidR="008A3B4E" w:rsidRPr="008A3B4E">
        <w:rPr>
          <w:rFonts w:eastAsia="Times New Roman" w:cs="Arial"/>
          <w:smallCaps/>
          <w:szCs w:val="18"/>
        </w:rPr>
        <w:t>Leonardis</w:t>
      </w:r>
      <w:r w:rsidRPr="003F2621">
        <w:rPr>
          <w:rFonts w:eastAsia="Times New Roman" w:cs="Arial"/>
          <w:szCs w:val="18"/>
        </w:rPr>
        <w:t xml:space="preserve">, </w:t>
      </w:r>
      <w:r w:rsidRPr="00410E7F">
        <w:rPr>
          <w:rFonts w:eastAsia="Times New Roman" w:cs="Arial"/>
          <w:i/>
          <w:szCs w:val="18"/>
        </w:rPr>
        <w:t>Il diritto dell’economia circolare e l’art. 41 Cost.,</w:t>
      </w:r>
      <w:r w:rsidRPr="003F2621">
        <w:rPr>
          <w:rFonts w:eastAsia="Times New Roman" w:cs="Arial"/>
          <w:szCs w:val="18"/>
        </w:rPr>
        <w:t xml:space="preserve"> in </w:t>
      </w:r>
      <w:r w:rsidR="00615DEC" w:rsidRPr="008A3B4E">
        <w:rPr>
          <w:rFonts w:eastAsia="Times New Roman" w:cs="Arial"/>
          <w:i/>
          <w:smallCaps/>
          <w:szCs w:val="18"/>
        </w:rPr>
        <w:t>RQDA</w:t>
      </w:r>
      <w:r w:rsidRPr="003F2621">
        <w:rPr>
          <w:rFonts w:eastAsia="Times New Roman" w:cs="Arial"/>
          <w:szCs w:val="18"/>
        </w:rPr>
        <w:t xml:space="preserve">, 2020, 1, </w:t>
      </w:r>
      <w:r w:rsidR="00615DEC">
        <w:rPr>
          <w:rFonts w:eastAsia="Times New Roman" w:cs="Arial"/>
          <w:szCs w:val="18"/>
        </w:rPr>
        <w:t xml:space="preserve">p. </w:t>
      </w:r>
      <w:r w:rsidRPr="003F2621">
        <w:rPr>
          <w:rFonts w:eastAsia="Times New Roman" w:cs="Arial"/>
          <w:szCs w:val="18"/>
        </w:rPr>
        <w:t xml:space="preserve">65 ss.; B. </w:t>
      </w:r>
      <w:r w:rsidR="008A3B4E" w:rsidRPr="008A3B4E">
        <w:rPr>
          <w:rFonts w:eastAsia="Times New Roman" w:cs="Arial"/>
          <w:smallCaps/>
          <w:szCs w:val="18"/>
        </w:rPr>
        <w:t>Celati</w:t>
      </w:r>
      <w:r w:rsidRPr="003F2621">
        <w:rPr>
          <w:rFonts w:eastAsia="Times New Roman" w:cs="Arial"/>
          <w:szCs w:val="18"/>
        </w:rPr>
        <w:t xml:space="preserve">, </w:t>
      </w:r>
      <w:r w:rsidRPr="00410E7F">
        <w:rPr>
          <w:rFonts w:eastAsia="Times New Roman" w:cs="Arial"/>
          <w:i/>
          <w:szCs w:val="18"/>
        </w:rPr>
        <w:t>L’intervento pubblico per la riconversione ecologica dell’economia</w:t>
      </w:r>
      <w:r w:rsidRPr="003F2621">
        <w:rPr>
          <w:rFonts w:eastAsia="Times New Roman" w:cs="Arial"/>
          <w:szCs w:val="18"/>
        </w:rPr>
        <w:t xml:space="preserve">, Cedam, </w:t>
      </w:r>
      <w:r w:rsidR="00615DEC" w:rsidRPr="003F2621">
        <w:rPr>
          <w:rFonts w:eastAsia="Times New Roman" w:cs="Arial"/>
          <w:szCs w:val="18"/>
        </w:rPr>
        <w:t xml:space="preserve">Padova, </w:t>
      </w:r>
      <w:r w:rsidRPr="003F2621">
        <w:rPr>
          <w:rFonts w:eastAsia="Times New Roman" w:cs="Arial"/>
          <w:szCs w:val="18"/>
        </w:rPr>
        <w:t>2021.</w:t>
      </w:r>
    </w:p>
  </w:footnote>
  <w:footnote w:id="18">
    <w:p w14:paraId="45540E97" w14:textId="4EA078D0"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Si tratta del Fondo per la “</w:t>
      </w:r>
      <w:r w:rsidRPr="00410E7F">
        <w:rPr>
          <w:rFonts w:eastAsia="Times New Roman" w:cs="Arial"/>
          <w:i/>
          <w:szCs w:val="18"/>
        </w:rPr>
        <w:t>Transizione giusta</w:t>
      </w:r>
      <w:r w:rsidRPr="003F2621">
        <w:rPr>
          <w:rFonts w:eastAsia="Times New Roman" w:cs="Arial"/>
          <w:szCs w:val="18"/>
        </w:rPr>
        <w:t xml:space="preserve">”, istituito con il Regolamento (UE) 2021/1056 del Parlamento europeo e del Consiglio del 24 giugno 2021, nonché del Fondo per la modernizzazione disciplinato dall’art. 10-quinquies della direttiva 2003/87/CE, di cui la Commissione ha proposto un aggiornamento e un rifinanziamento nell’ambito del Pacchetto </w:t>
      </w:r>
      <w:proofErr w:type="spellStart"/>
      <w:r w:rsidRPr="003F2621">
        <w:rPr>
          <w:rFonts w:eastAsia="Times New Roman" w:cs="Arial"/>
          <w:szCs w:val="18"/>
        </w:rPr>
        <w:t>Fit</w:t>
      </w:r>
      <w:proofErr w:type="spellEnd"/>
      <w:r w:rsidRPr="003F2621">
        <w:rPr>
          <w:rFonts w:eastAsia="Times New Roman" w:cs="Arial"/>
          <w:szCs w:val="18"/>
        </w:rPr>
        <w:t xml:space="preserve"> for 55, e del Fondo sociale per il clima, di cui il medesimo Pacchetto ha previsto l’istituzione con la Proposta di regolamento </w:t>
      </w:r>
      <w:r w:rsidR="00615DEC" w:rsidRPr="00615DEC">
        <w:rPr>
          <w:rFonts w:eastAsia="Times New Roman" w:cs="Arial"/>
          <w:caps/>
          <w:szCs w:val="18"/>
        </w:rPr>
        <w:t>COM</w:t>
      </w:r>
      <w:r w:rsidRPr="003F2621">
        <w:rPr>
          <w:rFonts w:eastAsia="Times New Roman" w:cs="Arial"/>
          <w:szCs w:val="18"/>
        </w:rPr>
        <w:t xml:space="preserve">(2021) 568 </w:t>
      </w:r>
      <w:proofErr w:type="spellStart"/>
      <w:r w:rsidRPr="003F2621">
        <w:rPr>
          <w:rFonts w:eastAsia="Times New Roman" w:cs="Arial"/>
          <w:szCs w:val="18"/>
        </w:rPr>
        <w:t>final</w:t>
      </w:r>
      <w:proofErr w:type="spellEnd"/>
      <w:r w:rsidRPr="003F2621">
        <w:rPr>
          <w:rFonts w:eastAsia="Times New Roman" w:cs="Arial"/>
          <w:szCs w:val="18"/>
        </w:rPr>
        <w:t xml:space="preserve"> del 14 luglio 2021.</w:t>
      </w:r>
      <w:r w:rsidR="00615DEC">
        <w:rPr>
          <w:rFonts w:eastAsia="Times New Roman" w:cs="Arial"/>
          <w:szCs w:val="18"/>
        </w:rPr>
        <w:t xml:space="preserve"> </w:t>
      </w:r>
    </w:p>
  </w:footnote>
  <w:footnote w:id="19">
    <w:p w14:paraId="588125E5" w14:textId="3DED1B6C"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il </w:t>
      </w:r>
      <w:r w:rsidRPr="00410E7F">
        <w:rPr>
          <w:rFonts w:eastAsia="Times New Roman" w:cs="Arial"/>
          <w:i/>
          <w:szCs w:val="18"/>
        </w:rPr>
        <w:t xml:space="preserve">Regolamento (UE) 2018/841 del Parlamento europeo e del Consiglio del 30 maggio 2018 nonché la Proposta di modifica del medesimo presentata dalla Commissione il 14 luglio 2021, nell’ambito del </w:t>
      </w:r>
      <w:proofErr w:type="spellStart"/>
      <w:r w:rsidRPr="00410E7F">
        <w:rPr>
          <w:rFonts w:eastAsia="Times New Roman" w:cs="Arial"/>
          <w:i/>
          <w:szCs w:val="18"/>
        </w:rPr>
        <w:t>Fit</w:t>
      </w:r>
      <w:proofErr w:type="spellEnd"/>
      <w:r w:rsidRPr="00410E7F">
        <w:rPr>
          <w:rFonts w:eastAsia="Times New Roman" w:cs="Arial"/>
          <w:i/>
          <w:szCs w:val="18"/>
        </w:rPr>
        <w:t xml:space="preserve"> for 55, </w:t>
      </w:r>
      <w:proofErr w:type="gramStart"/>
      <w:r w:rsidR="00615DEC" w:rsidRPr="00615DEC">
        <w:rPr>
          <w:rFonts w:eastAsia="Times New Roman" w:cs="Arial"/>
          <w:caps/>
          <w:szCs w:val="18"/>
        </w:rPr>
        <w:t>COM</w:t>
      </w:r>
      <w:r w:rsidRPr="003F2621">
        <w:rPr>
          <w:rFonts w:eastAsia="Times New Roman" w:cs="Arial"/>
          <w:szCs w:val="18"/>
        </w:rPr>
        <w:t>(</w:t>
      </w:r>
      <w:proofErr w:type="gramEnd"/>
      <w:r w:rsidRPr="003F2621">
        <w:rPr>
          <w:rFonts w:eastAsia="Times New Roman" w:cs="Arial"/>
          <w:szCs w:val="18"/>
        </w:rPr>
        <w:t xml:space="preserve">2021) 554 </w:t>
      </w:r>
      <w:proofErr w:type="spellStart"/>
      <w:r w:rsidRPr="003F2621">
        <w:rPr>
          <w:rFonts w:eastAsia="Times New Roman" w:cs="Arial"/>
          <w:szCs w:val="18"/>
        </w:rPr>
        <w:t>final</w:t>
      </w:r>
      <w:proofErr w:type="spellEnd"/>
      <w:r w:rsidRPr="003F2621">
        <w:rPr>
          <w:rFonts w:eastAsia="Times New Roman" w:cs="Arial"/>
          <w:szCs w:val="18"/>
        </w:rPr>
        <w:t>.</w:t>
      </w:r>
    </w:p>
  </w:footnote>
  <w:footnote w:id="20">
    <w:p w14:paraId="5D9AB98A" w14:textId="6E9F7E1C"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ad esempio la Comunicazione del 14 luglio 2021, </w:t>
      </w:r>
      <w:r w:rsidRPr="00410E7F">
        <w:rPr>
          <w:rFonts w:eastAsia="Times New Roman" w:cs="Arial"/>
          <w:i/>
          <w:szCs w:val="18"/>
        </w:rPr>
        <w:t>“</w:t>
      </w:r>
      <w:proofErr w:type="spellStart"/>
      <w:r w:rsidRPr="00410E7F">
        <w:rPr>
          <w:rFonts w:eastAsia="Times New Roman" w:cs="Arial"/>
          <w:i/>
          <w:szCs w:val="18"/>
        </w:rPr>
        <w:t>Fit</w:t>
      </w:r>
      <w:proofErr w:type="spellEnd"/>
      <w:r w:rsidRPr="00410E7F">
        <w:rPr>
          <w:rFonts w:eastAsia="Times New Roman" w:cs="Arial"/>
          <w:i/>
          <w:szCs w:val="18"/>
        </w:rPr>
        <w:t xml:space="preserve"> for 55: realizzando l’obiettivo climatico del 2030 sulla strada della neutralità climatica”,</w:t>
      </w:r>
      <w:r w:rsidRPr="003F2621">
        <w:rPr>
          <w:rFonts w:eastAsia="Times New Roman" w:cs="Arial"/>
          <w:szCs w:val="18"/>
        </w:rPr>
        <w:t xml:space="preserve"> in cui, all’inizio del par. 2.1, si afferma che “</w:t>
      </w:r>
      <w:r w:rsidRPr="00410E7F">
        <w:rPr>
          <w:rFonts w:eastAsia="Times New Roman" w:cs="Arial"/>
          <w:i/>
          <w:szCs w:val="18"/>
        </w:rPr>
        <w:t>La transizione verso la neutralità climatica può essere un’opportunità unica per ridurre le disuguaglianze sistemiche”.</w:t>
      </w:r>
    </w:p>
  </w:footnote>
  <w:footnote w:id="21">
    <w:p w14:paraId="2B7353AB" w14:textId="5B895E48"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Un ordine giuridico del mercato nel quale, contrariamente a quanto auspicato dal modello neo-liberale (su cui v. le note ed acute osservazioni di M. </w:t>
      </w:r>
      <w:r w:rsidR="008A3B4E" w:rsidRPr="008A3B4E">
        <w:rPr>
          <w:rFonts w:eastAsia="Times New Roman" w:cs="Arial"/>
          <w:smallCaps/>
          <w:szCs w:val="18"/>
        </w:rPr>
        <w:t>Foucault</w:t>
      </w:r>
      <w:r w:rsidRPr="003F2621">
        <w:rPr>
          <w:rFonts w:eastAsia="Times New Roman" w:cs="Arial"/>
          <w:szCs w:val="18"/>
        </w:rPr>
        <w:t xml:space="preserve">, </w:t>
      </w:r>
      <w:r w:rsidRPr="00410E7F">
        <w:rPr>
          <w:rFonts w:eastAsia="Times New Roman" w:cs="Arial"/>
          <w:i/>
          <w:szCs w:val="18"/>
        </w:rPr>
        <w:t>Nascita della biopolitica</w:t>
      </w:r>
      <w:r w:rsidRPr="003F2621">
        <w:rPr>
          <w:rFonts w:eastAsia="Times New Roman" w:cs="Arial"/>
          <w:szCs w:val="18"/>
        </w:rPr>
        <w:t xml:space="preserve">, </w:t>
      </w:r>
      <w:r w:rsidRPr="00410E7F">
        <w:rPr>
          <w:rFonts w:eastAsia="Times New Roman" w:cs="Arial"/>
          <w:i/>
          <w:szCs w:val="18"/>
        </w:rPr>
        <w:t>Corso al College de France 1978-1979</w:t>
      </w:r>
      <w:r w:rsidRPr="003F2621">
        <w:rPr>
          <w:rFonts w:eastAsia="Times New Roman" w:cs="Arial"/>
          <w:szCs w:val="18"/>
        </w:rPr>
        <w:t xml:space="preserve">, Feltrinelli, </w:t>
      </w:r>
      <w:r w:rsidR="00615DEC">
        <w:rPr>
          <w:rFonts w:eastAsia="Times New Roman" w:cs="Arial"/>
          <w:szCs w:val="18"/>
        </w:rPr>
        <w:t xml:space="preserve">Milano, </w:t>
      </w:r>
      <w:r w:rsidRPr="003F2621">
        <w:rPr>
          <w:rFonts w:eastAsia="Times New Roman" w:cs="Arial"/>
          <w:szCs w:val="18"/>
        </w:rPr>
        <w:t>2005), lo Stato, pur non rigettando completamente la logica del mercato, rifiuta di assumere un ruolo sostanzialmente servente rispetto ad essa ed anzi mira ad indirizzarla verso finalità di interesse generale.</w:t>
      </w:r>
    </w:p>
  </w:footnote>
  <w:footnote w:id="22">
    <w:p w14:paraId="109CFA99" w14:textId="25EDBD57"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ancora </w:t>
      </w:r>
      <w:r w:rsidR="008A3B4E" w:rsidRPr="008A3B4E">
        <w:rPr>
          <w:rFonts w:eastAsia="Times New Roman" w:cs="Arial"/>
          <w:smallCaps/>
          <w:szCs w:val="18"/>
        </w:rPr>
        <w:t>Pistor</w:t>
      </w:r>
      <w:r w:rsidRPr="003F2621">
        <w:rPr>
          <w:rFonts w:eastAsia="Times New Roman" w:cs="Arial"/>
          <w:szCs w:val="18"/>
        </w:rPr>
        <w:t xml:space="preserve">, </w:t>
      </w:r>
      <w:r w:rsidRPr="00410E7F">
        <w:rPr>
          <w:rFonts w:eastAsia="Times New Roman" w:cs="Arial"/>
          <w:i/>
          <w:szCs w:val="18"/>
        </w:rPr>
        <w:t>Il codice del capitale</w:t>
      </w:r>
      <w:r w:rsidRPr="003F2621">
        <w:rPr>
          <w:rFonts w:eastAsia="Times New Roman" w:cs="Arial"/>
          <w:szCs w:val="18"/>
        </w:rPr>
        <w:t xml:space="preserve">, cit., nonché la bella lettura che di esso dà A. </w:t>
      </w:r>
      <w:r w:rsidR="008A3B4E" w:rsidRPr="008A3B4E">
        <w:rPr>
          <w:rFonts w:eastAsia="Times New Roman" w:cs="Arial"/>
          <w:smallCaps/>
          <w:szCs w:val="18"/>
        </w:rPr>
        <w:t>Sandulli</w:t>
      </w:r>
      <w:r w:rsidRPr="003F2621">
        <w:rPr>
          <w:rFonts w:eastAsia="Times New Roman" w:cs="Arial"/>
          <w:szCs w:val="18"/>
        </w:rPr>
        <w:t xml:space="preserve">, </w:t>
      </w:r>
      <w:r w:rsidRPr="00410E7F">
        <w:rPr>
          <w:rFonts w:eastAsia="Times New Roman" w:cs="Arial"/>
          <w:i/>
          <w:szCs w:val="18"/>
        </w:rPr>
        <w:t>Il diritto quale infrastruttura per i poteri privati? A proposito di un libro di Katharina Pistor</w:t>
      </w:r>
      <w:r w:rsidRPr="003F2621">
        <w:rPr>
          <w:rFonts w:eastAsia="Times New Roman" w:cs="Arial"/>
          <w:szCs w:val="18"/>
        </w:rPr>
        <w:t xml:space="preserve">, in </w:t>
      </w:r>
      <w:r w:rsidRPr="00410E7F">
        <w:rPr>
          <w:rFonts w:eastAsia="Times New Roman" w:cs="Arial"/>
          <w:i/>
          <w:szCs w:val="18"/>
        </w:rPr>
        <w:t>Diritto Pubblico</w:t>
      </w:r>
      <w:r w:rsidRPr="003F2621">
        <w:rPr>
          <w:rFonts w:eastAsia="Times New Roman" w:cs="Arial"/>
          <w:szCs w:val="18"/>
        </w:rPr>
        <w:t xml:space="preserve">, 2021, 3, </w:t>
      </w:r>
      <w:r w:rsidR="00615DEC">
        <w:rPr>
          <w:rFonts w:eastAsia="Times New Roman" w:cs="Arial"/>
          <w:szCs w:val="18"/>
        </w:rPr>
        <w:t xml:space="preserve">p. </w:t>
      </w:r>
      <w:r w:rsidRPr="003F2621">
        <w:rPr>
          <w:rFonts w:eastAsia="Times New Roman" w:cs="Arial"/>
          <w:szCs w:val="18"/>
        </w:rPr>
        <w:t>999 ss.</w:t>
      </w:r>
    </w:p>
  </w:footnote>
  <w:footnote w:id="23">
    <w:p w14:paraId="54B31ACC" w14:textId="292BE749"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Sulle misure disruptive v. sopra la nota 5 e gli Autori ivi citati (cui </w:t>
      </w:r>
      <w:proofErr w:type="spellStart"/>
      <w:r w:rsidRPr="00410E7F">
        <w:rPr>
          <w:rFonts w:eastAsia="Times New Roman" w:cs="Arial"/>
          <w:i/>
          <w:szCs w:val="18"/>
        </w:rPr>
        <w:t>adde</w:t>
      </w:r>
      <w:proofErr w:type="spellEnd"/>
      <w:r w:rsidRPr="00410E7F">
        <w:rPr>
          <w:rFonts w:eastAsia="Times New Roman" w:cs="Arial"/>
          <w:i/>
          <w:szCs w:val="18"/>
        </w:rPr>
        <w:t xml:space="preserve"> </w:t>
      </w:r>
      <w:r w:rsidR="00615DEC" w:rsidRPr="00615DEC">
        <w:rPr>
          <w:rFonts w:eastAsia="Times New Roman" w:cs="Arial"/>
          <w:iCs/>
          <w:szCs w:val="18"/>
        </w:rPr>
        <w:t>E.</w:t>
      </w:r>
      <w:r w:rsidR="00615DEC">
        <w:rPr>
          <w:rFonts w:eastAsia="Times New Roman" w:cs="Arial"/>
          <w:i/>
          <w:szCs w:val="18"/>
        </w:rPr>
        <w:t xml:space="preserve">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 xml:space="preserve">, </w:t>
      </w:r>
      <w:r w:rsidRPr="00410E7F">
        <w:rPr>
          <w:rFonts w:eastAsia="Times New Roman" w:cs="Arial"/>
          <w:i/>
          <w:szCs w:val="18"/>
        </w:rPr>
        <w:t>Le politiche di decarbonizzazione e i loro riflessi sulla costituzione economica e sulla governance europea e nazionale</w:t>
      </w:r>
      <w:r w:rsidRPr="003F2621">
        <w:rPr>
          <w:rFonts w:eastAsia="Times New Roman" w:cs="Arial"/>
          <w:szCs w:val="18"/>
        </w:rPr>
        <w:t xml:space="preserve">, cit., in part. </w:t>
      </w:r>
      <w:r w:rsidR="00615DEC">
        <w:rPr>
          <w:rFonts w:eastAsia="Times New Roman" w:cs="Arial"/>
          <w:szCs w:val="18"/>
        </w:rPr>
        <w:t xml:space="preserve">p. </w:t>
      </w:r>
      <w:r w:rsidRPr="003F2621">
        <w:rPr>
          <w:rFonts w:eastAsia="Times New Roman" w:cs="Arial"/>
          <w:szCs w:val="18"/>
        </w:rPr>
        <w:t>425 ss.).</w:t>
      </w:r>
    </w:p>
  </w:footnote>
  <w:footnote w:id="24">
    <w:p w14:paraId="3FB5631D" w14:textId="4AC9DCCE"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Con il suo </w:t>
      </w:r>
      <w:proofErr w:type="spellStart"/>
      <w:r w:rsidRPr="00410E7F">
        <w:rPr>
          <w:rFonts w:eastAsia="Times New Roman" w:cs="Arial"/>
          <w:i/>
          <w:szCs w:val="18"/>
        </w:rPr>
        <w:t>Taxonomy</w:t>
      </w:r>
      <w:proofErr w:type="spellEnd"/>
      <w:r w:rsidRPr="00410E7F">
        <w:rPr>
          <w:rFonts w:eastAsia="Times New Roman" w:cs="Arial"/>
          <w:i/>
          <w:szCs w:val="18"/>
        </w:rPr>
        <w:t xml:space="preserve"> </w:t>
      </w:r>
      <w:proofErr w:type="spellStart"/>
      <w:r w:rsidRPr="00410E7F">
        <w:rPr>
          <w:rFonts w:eastAsia="Times New Roman" w:cs="Arial"/>
          <w:i/>
          <w:szCs w:val="18"/>
        </w:rPr>
        <w:t>Complementary</w:t>
      </w:r>
      <w:proofErr w:type="spellEnd"/>
      <w:r w:rsidRPr="00410E7F">
        <w:rPr>
          <w:rFonts w:eastAsia="Times New Roman" w:cs="Arial"/>
          <w:i/>
          <w:szCs w:val="18"/>
        </w:rPr>
        <w:t xml:space="preserve"> </w:t>
      </w:r>
      <w:proofErr w:type="spellStart"/>
      <w:r w:rsidRPr="00410E7F">
        <w:rPr>
          <w:rFonts w:eastAsia="Times New Roman" w:cs="Arial"/>
          <w:i/>
          <w:szCs w:val="18"/>
        </w:rPr>
        <w:t>Climate</w:t>
      </w:r>
      <w:proofErr w:type="spellEnd"/>
      <w:r w:rsidRPr="00410E7F">
        <w:rPr>
          <w:rFonts w:eastAsia="Times New Roman" w:cs="Arial"/>
          <w:i/>
          <w:szCs w:val="18"/>
        </w:rPr>
        <w:t xml:space="preserve"> </w:t>
      </w:r>
      <w:proofErr w:type="spellStart"/>
      <w:r w:rsidRPr="00410E7F">
        <w:rPr>
          <w:rFonts w:eastAsia="Times New Roman" w:cs="Arial"/>
          <w:i/>
          <w:szCs w:val="18"/>
        </w:rPr>
        <w:t>Delegated</w:t>
      </w:r>
      <w:proofErr w:type="spellEnd"/>
      <w:r w:rsidRPr="00410E7F">
        <w:rPr>
          <w:rFonts w:eastAsia="Times New Roman" w:cs="Arial"/>
          <w:i/>
          <w:szCs w:val="18"/>
        </w:rPr>
        <w:t xml:space="preserve"> Act </w:t>
      </w:r>
      <w:r w:rsidRPr="003F2621">
        <w:rPr>
          <w:rFonts w:eastAsia="Times New Roman" w:cs="Arial"/>
          <w:szCs w:val="18"/>
        </w:rPr>
        <w:t>(</w:t>
      </w:r>
      <w:r w:rsidRPr="00615DEC">
        <w:rPr>
          <w:rFonts w:eastAsia="Times New Roman" w:cs="Arial"/>
          <w:i/>
          <w:iCs/>
          <w:szCs w:val="18"/>
        </w:rPr>
        <w:t>https://ec.europa.eu/info/</w:t>
      </w:r>
      <w:r w:rsidR="00615DEC" w:rsidRPr="00615DEC">
        <w:rPr>
          <w:rFonts w:eastAsia="Times New Roman" w:cs="Arial"/>
          <w:i/>
          <w:iCs/>
          <w:szCs w:val="18"/>
        </w:rPr>
        <w:br/>
      </w:r>
      <w:r w:rsidRPr="00615DEC">
        <w:rPr>
          <w:rFonts w:eastAsia="Times New Roman" w:cs="Arial"/>
          <w:i/>
          <w:iCs/>
          <w:szCs w:val="18"/>
        </w:rPr>
        <w:t>publications/220202-sustainable-finance-taxonomy-complementary-climate-delegated-act_en</w:t>
      </w:r>
      <w:r w:rsidRPr="00313FF7">
        <w:rPr>
          <w:rFonts w:eastAsia="Times New Roman" w:cs="Arial"/>
          <w:szCs w:val="18"/>
        </w:rPr>
        <w:t>)</w:t>
      </w:r>
      <w:r w:rsidRPr="003F2621">
        <w:rPr>
          <w:rFonts w:eastAsia="Times New Roman" w:cs="Arial"/>
          <w:szCs w:val="18"/>
        </w:rPr>
        <w:t>, presentato il 2 febbraio 2022, la Commissione europea, ferma restando la libertà degli Stati membri di determinare le tecnologie da includere nel loro mix energetico, ha incluso gli investimenti nel gas naturale e nell’energia nucleare – purché rispondenti a determinati requisiti di sostenibilità – tra quelli funzionali alla transizione ecologica, con l’effetto di indirizzare (anche) verso di essi le scelte degli investitori privati. Tale decisione è stata accolta da critiche molto accese da parte di settori estesi dell’opinione pubblica e degli esperti.</w:t>
      </w:r>
    </w:p>
  </w:footnote>
  <w:footnote w:id="25">
    <w:p w14:paraId="7CAEDC0A" w14:textId="6F43D48E"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È proprio K. </w:t>
      </w:r>
      <w:proofErr w:type="spellStart"/>
      <w:r w:rsidR="008A3B4E" w:rsidRPr="008A3B4E">
        <w:rPr>
          <w:rFonts w:eastAsia="Times New Roman" w:cs="Arial"/>
          <w:smallCaps/>
          <w:szCs w:val="18"/>
        </w:rPr>
        <w:t>Polanyi</w:t>
      </w:r>
      <w:proofErr w:type="spellEnd"/>
      <w:r w:rsidRPr="003F2621">
        <w:rPr>
          <w:rFonts w:eastAsia="Times New Roman" w:cs="Arial"/>
          <w:szCs w:val="18"/>
        </w:rPr>
        <w:t xml:space="preserve"> a sottolineare in più parti di “</w:t>
      </w:r>
      <w:r w:rsidRPr="00410E7F">
        <w:rPr>
          <w:rFonts w:eastAsia="Times New Roman" w:cs="Arial"/>
          <w:i/>
          <w:szCs w:val="18"/>
        </w:rPr>
        <w:t>La grande trasformazione”</w:t>
      </w:r>
      <w:r w:rsidRPr="003F2621">
        <w:rPr>
          <w:rFonts w:eastAsia="Times New Roman" w:cs="Arial"/>
          <w:szCs w:val="18"/>
        </w:rPr>
        <w:t xml:space="preserve"> (Einaudi, Torino, 1974, ma prima, com’è noto, </w:t>
      </w:r>
      <w:r w:rsidRPr="00410E7F">
        <w:rPr>
          <w:rFonts w:eastAsia="Times New Roman" w:cs="Arial"/>
          <w:i/>
          <w:szCs w:val="18"/>
        </w:rPr>
        <w:t xml:space="preserve">The Great </w:t>
      </w:r>
      <w:proofErr w:type="spellStart"/>
      <w:r w:rsidRPr="00410E7F">
        <w:rPr>
          <w:rFonts w:eastAsia="Times New Roman" w:cs="Arial"/>
          <w:i/>
          <w:szCs w:val="18"/>
        </w:rPr>
        <w:t>Tranformation</w:t>
      </w:r>
      <w:proofErr w:type="spellEnd"/>
      <w:r w:rsidRPr="003F2621">
        <w:rPr>
          <w:rFonts w:eastAsia="Times New Roman" w:cs="Arial"/>
          <w:szCs w:val="18"/>
        </w:rPr>
        <w:t xml:space="preserve">, Farrar &amp; </w:t>
      </w:r>
      <w:proofErr w:type="spellStart"/>
      <w:r w:rsidRPr="003F2621">
        <w:rPr>
          <w:rFonts w:eastAsia="Times New Roman" w:cs="Arial"/>
          <w:szCs w:val="18"/>
        </w:rPr>
        <w:t>Rineheart</w:t>
      </w:r>
      <w:proofErr w:type="spellEnd"/>
      <w:r w:rsidRPr="003F2621">
        <w:rPr>
          <w:rFonts w:eastAsia="Times New Roman" w:cs="Arial"/>
          <w:szCs w:val="18"/>
        </w:rPr>
        <w:t>,</w:t>
      </w:r>
      <w:r w:rsidR="00615DEC">
        <w:rPr>
          <w:rFonts w:eastAsia="Times New Roman" w:cs="Arial"/>
          <w:szCs w:val="18"/>
        </w:rPr>
        <w:t xml:space="preserve"> </w:t>
      </w:r>
      <w:r w:rsidR="00615DEC" w:rsidRPr="00615DEC">
        <w:rPr>
          <w:rFonts w:eastAsia="Times New Roman" w:cs="Arial"/>
          <w:szCs w:val="18"/>
          <w:highlight w:val="cyan"/>
        </w:rPr>
        <w:t>città?</w:t>
      </w:r>
      <w:r w:rsidR="00615DEC">
        <w:rPr>
          <w:rFonts w:eastAsia="Times New Roman" w:cs="Arial"/>
          <w:szCs w:val="18"/>
        </w:rPr>
        <w:t xml:space="preserve">, </w:t>
      </w:r>
      <w:r w:rsidRPr="003F2621">
        <w:rPr>
          <w:rFonts w:eastAsia="Times New Roman" w:cs="Arial"/>
          <w:szCs w:val="18"/>
        </w:rPr>
        <w:t>1944) la necessità che i grandi cambiamenti negli assetti economici e sociali previgenti siano guidati e anche rallentati nei loro tempi dai poteri pubblici per consentire i necessari adattamenti da parte di chi deve riconvertire la sua attività (e spesso la sua vita): “</w:t>
      </w:r>
      <w:r w:rsidRPr="00410E7F">
        <w:rPr>
          <w:rFonts w:eastAsia="Times New Roman" w:cs="Arial"/>
          <w:i/>
          <w:szCs w:val="18"/>
        </w:rPr>
        <w:t>il ruolo del governo … consiste spesso nell’alterare il ritmo del cambiamento accelerandolo o alterandolo a seconda dei casi</w:t>
      </w:r>
      <w:r w:rsidRPr="003F2621">
        <w:rPr>
          <w:rFonts w:eastAsia="Times New Roman" w:cs="Arial"/>
          <w:szCs w:val="18"/>
        </w:rPr>
        <w:t>” (p. 50). È una notazione che può oggi apparire scontata nella parte in cui assegna al governo il compito di accelerare le trasformazioni – tale è in effetti lo scopo di molti interventi di politica industriale-, ma che lo è assai meno, in questi tempi segnati dai cambiamenti rapidissimi indotti dallo sviluppo tecnologico, quando, in relazione alle circostanze, gli attribuisce anche l’opposta funzione di frenare la loro velocità.</w:t>
      </w:r>
    </w:p>
  </w:footnote>
  <w:footnote w:id="26">
    <w:p w14:paraId="3FAF1270" w14:textId="539C4A25"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Ancora più difficile è valutare se quegli obiettivi siano in sé adeguati rispetto al ritmo sempre più affrettato del cambiamento climatico.</w:t>
      </w:r>
    </w:p>
  </w:footnote>
  <w:footnote w:id="27">
    <w:p w14:paraId="60415BC7" w14:textId="6B2A9AAB"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La durata dei contratti di compravendita di gas e petrolio dipende anche dai tempi necessari per ammortizzare gli investimenti posti in essere dai produttori per costruire nuovi impianti di estrazione di petrolio o gas o di liquefazione del gas.</w:t>
      </w:r>
    </w:p>
  </w:footnote>
  <w:footnote w:id="28">
    <w:p w14:paraId="017EF738" w14:textId="225E91D2"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anche in tal senso M. </w:t>
      </w:r>
      <w:r w:rsidR="008A3B4E" w:rsidRPr="008A3B4E">
        <w:rPr>
          <w:rFonts w:eastAsia="Times New Roman" w:cs="Arial"/>
          <w:smallCaps/>
          <w:szCs w:val="18"/>
        </w:rPr>
        <w:t>Grillo</w:t>
      </w:r>
      <w:r w:rsidRPr="003F2621">
        <w:rPr>
          <w:rFonts w:eastAsia="Times New Roman" w:cs="Arial"/>
          <w:szCs w:val="18"/>
        </w:rPr>
        <w:t xml:space="preserve">, </w:t>
      </w:r>
      <w:r w:rsidRPr="00410E7F">
        <w:rPr>
          <w:rFonts w:eastAsia="Times New Roman" w:cs="Arial"/>
          <w:i/>
          <w:szCs w:val="18"/>
        </w:rPr>
        <w:t>La guerra in Ucraina e la sfida per l’Europa</w:t>
      </w:r>
      <w:r w:rsidRPr="003F2621">
        <w:rPr>
          <w:rFonts w:eastAsia="Times New Roman" w:cs="Arial"/>
          <w:szCs w:val="18"/>
        </w:rPr>
        <w:t xml:space="preserve">, in </w:t>
      </w:r>
      <w:r w:rsidRPr="00410E7F">
        <w:rPr>
          <w:rFonts w:eastAsia="Times New Roman" w:cs="Arial"/>
          <w:i/>
          <w:szCs w:val="18"/>
        </w:rPr>
        <w:t>Vita e pensiero</w:t>
      </w:r>
      <w:r w:rsidRPr="003F2621">
        <w:rPr>
          <w:rFonts w:eastAsia="Times New Roman" w:cs="Arial"/>
          <w:szCs w:val="18"/>
        </w:rPr>
        <w:t xml:space="preserve">, 2022, </w:t>
      </w:r>
      <w:r w:rsidRPr="004C5130">
        <w:rPr>
          <w:rFonts w:eastAsia="Times New Roman" w:cs="Arial"/>
          <w:szCs w:val="18"/>
          <w:highlight w:val="cyan"/>
        </w:rPr>
        <w:t>in corso di pubblicazione.</w:t>
      </w:r>
    </w:p>
  </w:footnote>
  <w:footnote w:id="29">
    <w:p w14:paraId="6EED7175" w14:textId="017AF765"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Per l’importanza che la Commissione europea attribuisce agli investimenti privati rispetto all’attuazione delle politiche di decarbonizzazione v., oltre alla stessa Comunicazione sul Green Deal del dicembre 2019, l’atto delegato sulla Tassonomia presentato il 2 febbraio 2022 (sul quale v. sopra la nota 23)</w:t>
      </w:r>
      <w:r w:rsidR="00717462">
        <w:rPr>
          <w:rFonts w:eastAsia="Times New Roman" w:cs="Arial"/>
          <w:szCs w:val="18"/>
        </w:rPr>
        <w:t>.</w:t>
      </w:r>
    </w:p>
  </w:footnote>
  <w:footnote w:id="30">
    <w:p w14:paraId="1D284D0A" w14:textId="6E5E4935"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Tra i molti lavori che S. </w:t>
      </w:r>
      <w:r w:rsidR="008A3B4E" w:rsidRPr="008A3B4E">
        <w:rPr>
          <w:rFonts w:eastAsia="Times New Roman" w:cs="Arial"/>
          <w:smallCaps/>
          <w:szCs w:val="18"/>
        </w:rPr>
        <w:t>Latouche</w:t>
      </w:r>
      <w:r w:rsidRPr="003F2621">
        <w:rPr>
          <w:rFonts w:eastAsia="Times New Roman" w:cs="Arial"/>
          <w:szCs w:val="18"/>
        </w:rPr>
        <w:t xml:space="preserve"> ha dedicato al tema – tutti interessanti, non tutti pienamente condivisibili – possono qui citarsi </w:t>
      </w:r>
      <w:r w:rsidRPr="00410E7F">
        <w:rPr>
          <w:rFonts w:eastAsia="Times New Roman" w:cs="Arial"/>
          <w:i/>
          <w:szCs w:val="18"/>
        </w:rPr>
        <w:t>Breve Trattato sulla decrescita serena</w:t>
      </w:r>
      <w:r w:rsidRPr="003F2621">
        <w:rPr>
          <w:rFonts w:eastAsia="Times New Roman" w:cs="Arial"/>
          <w:szCs w:val="18"/>
        </w:rPr>
        <w:t xml:space="preserve">, Bollati Boringhieri, </w:t>
      </w:r>
      <w:r w:rsidR="004C5130">
        <w:rPr>
          <w:rFonts w:eastAsia="Times New Roman" w:cs="Arial"/>
          <w:szCs w:val="18"/>
        </w:rPr>
        <w:t xml:space="preserve">Milano, </w:t>
      </w:r>
      <w:r w:rsidRPr="003F2621">
        <w:rPr>
          <w:rFonts w:eastAsia="Times New Roman" w:cs="Arial"/>
          <w:szCs w:val="18"/>
        </w:rPr>
        <w:t xml:space="preserve">2008; </w:t>
      </w:r>
      <w:r w:rsidRPr="00410E7F">
        <w:rPr>
          <w:rFonts w:eastAsia="Times New Roman" w:cs="Arial"/>
          <w:i/>
          <w:szCs w:val="18"/>
        </w:rPr>
        <w:t>La decrescita prima della decrescita. Precursori e compagni di strada</w:t>
      </w:r>
      <w:r w:rsidRPr="003F2621">
        <w:rPr>
          <w:rFonts w:eastAsia="Times New Roman" w:cs="Arial"/>
          <w:szCs w:val="18"/>
        </w:rPr>
        <w:t xml:space="preserve">, Bollati Boringhieri, 2016; </w:t>
      </w:r>
      <w:r w:rsidRPr="00410E7F">
        <w:rPr>
          <w:rFonts w:eastAsia="Times New Roman" w:cs="Arial"/>
          <w:i/>
          <w:szCs w:val="18"/>
        </w:rPr>
        <w:t xml:space="preserve">Come </w:t>
      </w:r>
      <w:proofErr w:type="spellStart"/>
      <w:r w:rsidRPr="00410E7F">
        <w:rPr>
          <w:rFonts w:eastAsia="Times New Roman" w:cs="Arial"/>
          <w:i/>
          <w:szCs w:val="18"/>
        </w:rPr>
        <w:t>reincantare</w:t>
      </w:r>
      <w:proofErr w:type="spellEnd"/>
      <w:r w:rsidRPr="00410E7F">
        <w:rPr>
          <w:rFonts w:eastAsia="Times New Roman" w:cs="Arial"/>
          <w:i/>
          <w:szCs w:val="18"/>
        </w:rPr>
        <w:t xml:space="preserve"> il mondo: la decrescita e il sacro</w:t>
      </w:r>
      <w:r w:rsidRPr="003F2621">
        <w:rPr>
          <w:rFonts w:eastAsia="Times New Roman" w:cs="Arial"/>
          <w:szCs w:val="18"/>
        </w:rPr>
        <w:t xml:space="preserve">, Bollati Boringhieri, </w:t>
      </w:r>
      <w:r w:rsidR="004C5130">
        <w:rPr>
          <w:rFonts w:eastAsia="Times New Roman" w:cs="Arial"/>
          <w:szCs w:val="18"/>
        </w:rPr>
        <w:t xml:space="preserve">Milano, </w:t>
      </w:r>
      <w:r w:rsidRPr="003F2621">
        <w:rPr>
          <w:rFonts w:eastAsia="Times New Roman" w:cs="Arial"/>
          <w:szCs w:val="18"/>
        </w:rPr>
        <w:t>2020.</w:t>
      </w:r>
    </w:p>
  </w:footnote>
  <w:footnote w:id="31">
    <w:p w14:paraId="64001837" w14:textId="7BE4EACA"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 tema v., tra I molti, J. </w:t>
      </w:r>
      <w:r w:rsidR="008A3B4E" w:rsidRPr="008A3B4E">
        <w:rPr>
          <w:rFonts w:eastAsia="Times New Roman" w:cs="Arial"/>
          <w:smallCaps/>
          <w:szCs w:val="18"/>
        </w:rPr>
        <w:t>Stiglitz</w:t>
      </w:r>
      <w:r w:rsidRPr="003F2621">
        <w:rPr>
          <w:rFonts w:eastAsia="Times New Roman" w:cs="Arial"/>
          <w:szCs w:val="18"/>
        </w:rPr>
        <w:t xml:space="preserve">, </w:t>
      </w:r>
      <w:r w:rsidRPr="00410E7F">
        <w:rPr>
          <w:rFonts w:eastAsia="Times New Roman" w:cs="Arial"/>
          <w:i/>
          <w:szCs w:val="18"/>
        </w:rPr>
        <w:t xml:space="preserve">The price of </w:t>
      </w:r>
      <w:proofErr w:type="spellStart"/>
      <w:r w:rsidRPr="00410E7F">
        <w:rPr>
          <w:rFonts w:eastAsia="Times New Roman" w:cs="Arial"/>
          <w:i/>
          <w:szCs w:val="18"/>
        </w:rPr>
        <w:t>inequality</w:t>
      </w:r>
      <w:proofErr w:type="spellEnd"/>
      <w:r w:rsidRPr="003F2621">
        <w:rPr>
          <w:rFonts w:eastAsia="Times New Roman" w:cs="Arial"/>
          <w:szCs w:val="18"/>
        </w:rPr>
        <w:t xml:space="preserve">, W.W. Norton &amp; Company, </w:t>
      </w:r>
      <w:proofErr w:type="gramStart"/>
      <w:r w:rsidR="004C5130" w:rsidRPr="004C5130">
        <w:rPr>
          <w:rFonts w:eastAsia="Times New Roman" w:cs="Arial"/>
          <w:szCs w:val="18"/>
          <w:highlight w:val="cyan"/>
        </w:rPr>
        <w:t>città?,</w:t>
      </w:r>
      <w:proofErr w:type="gramEnd"/>
      <w:r w:rsidR="004C5130">
        <w:rPr>
          <w:rFonts w:eastAsia="Times New Roman" w:cs="Arial"/>
          <w:szCs w:val="18"/>
        </w:rPr>
        <w:t xml:space="preserve"> </w:t>
      </w:r>
      <w:r w:rsidRPr="003F2621">
        <w:rPr>
          <w:rFonts w:eastAsia="Times New Roman" w:cs="Arial"/>
          <w:szCs w:val="18"/>
        </w:rPr>
        <w:t xml:space="preserve">2012; A. </w:t>
      </w:r>
      <w:r w:rsidR="008A3B4E" w:rsidRPr="008A3B4E">
        <w:rPr>
          <w:rFonts w:eastAsia="Times New Roman" w:cs="Arial"/>
          <w:smallCaps/>
          <w:szCs w:val="18"/>
        </w:rPr>
        <w:t>Atkinson</w:t>
      </w:r>
      <w:r w:rsidRPr="003F2621">
        <w:rPr>
          <w:rFonts w:eastAsia="Times New Roman" w:cs="Arial"/>
          <w:szCs w:val="18"/>
        </w:rPr>
        <w:t>,</w:t>
      </w:r>
      <w:r w:rsidRPr="00410E7F">
        <w:rPr>
          <w:rFonts w:eastAsia="Times New Roman" w:cs="Arial"/>
          <w:i/>
          <w:szCs w:val="18"/>
        </w:rPr>
        <w:t xml:space="preserve"> </w:t>
      </w:r>
      <w:proofErr w:type="spellStart"/>
      <w:r w:rsidRPr="00410E7F">
        <w:rPr>
          <w:rFonts w:eastAsia="Times New Roman" w:cs="Arial"/>
          <w:i/>
          <w:szCs w:val="18"/>
        </w:rPr>
        <w:t>Inequality</w:t>
      </w:r>
      <w:proofErr w:type="spellEnd"/>
      <w:r w:rsidRPr="003F2621">
        <w:rPr>
          <w:rFonts w:eastAsia="Times New Roman" w:cs="Arial"/>
          <w:szCs w:val="18"/>
        </w:rPr>
        <w:t xml:space="preserve">, Harvard University Press, </w:t>
      </w:r>
      <w:r w:rsidR="004C5130" w:rsidRPr="004C5130">
        <w:rPr>
          <w:rFonts w:eastAsia="Times New Roman" w:cs="Arial"/>
          <w:szCs w:val="18"/>
          <w:highlight w:val="cyan"/>
        </w:rPr>
        <w:t>città?,</w:t>
      </w:r>
      <w:r w:rsidR="004C5130">
        <w:rPr>
          <w:rFonts w:eastAsia="Times New Roman" w:cs="Arial"/>
          <w:szCs w:val="18"/>
        </w:rPr>
        <w:t xml:space="preserve"> </w:t>
      </w:r>
      <w:r w:rsidRPr="003F2621">
        <w:rPr>
          <w:rFonts w:eastAsia="Times New Roman" w:cs="Arial"/>
          <w:szCs w:val="18"/>
        </w:rPr>
        <w:t xml:space="preserve">2015 (nonché </w:t>
      </w:r>
      <w:r w:rsidRPr="00410E7F">
        <w:rPr>
          <w:rFonts w:eastAsia="Times New Roman" w:cs="Arial"/>
          <w:i/>
          <w:szCs w:val="18"/>
        </w:rPr>
        <w:t>15 proposte per la giustizia sociale. Ispirate dal programma di azione di Anthony Atkinson</w:t>
      </w:r>
      <w:r w:rsidRPr="003F2621">
        <w:rPr>
          <w:rFonts w:eastAsia="Times New Roman" w:cs="Arial"/>
          <w:szCs w:val="18"/>
        </w:rPr>
        <w:t xml:space="preserve"> del Forum Disuguaglianze Diversità, Il Mulino, </w:t>
      </w:r>
      <w:r w:rsidR="004C5130">
        <w:rPr>
          <w:rFonts w:eastAsia="Times New Roman" w:cs="Arial"/>
          <w:szCs w:val="18"/>
        </w:rPr>
        <w:t xml:space="preserve">Bologna, </w:t>
      </w:r>
      <w:r w:rsidRPr="003F2621">
        <w:rPr>
          <w:rFonts w:eastAsia="Times New Roman" w:cs="Arial"/>
          <w:szCs w:val="18"/>
        </w:rPr>
        <w:t>2020).</w:t>
      </w:r>
    </w:p>
  </w:footnote>
  <w:footnote w:id="32">
    <w:p w14:paraId="113E9A1C" w14:textId="3614EE23" w:rsidR="00410E7F" w:rsidRPr="004C5130" w:rsidRDefault="00410E7F" w:rsidP="003F2621">
      <w:pPr>
        <w:pStyle w:val="Testonotaapidipagina"/>
        <w:widowControl/>
        <w:rPr>
          <w:rFonts w:eastAsia="Times New Roman" w:cs="Arial"/>
          <w:spacing w:val="-2"/>
          <w:szCs w:val="18"/>
        </w:rPr>
      </w:pPr>
      <w:r w:rsidRPr="004C5130">
        <w:rPr>
          <w:rFonts w:cs="Arial"/>
          <w:spacing w:val="-2"/>
          <w:szCs w:val="18"/>
          <w:vertAlign w:val="superscript"/>
        </w:rPr>
        <w:footnoteRef/>
      </w:r>
      <w:r w:rsidRPr="004C5130">
        <w:rPr>
          <w:rFonts w:eastAsia="Times New Roman" w:cs="Arial"/>
          <w:spacing w:val="-2"/>
          <w:szCs w:val="18"/>
          <w:vertAlign w:val="superscript"/>
        </w:rPr>
        <w:t> </w:t>
      </w:r>
      <w:r w:rsidRPr="004C5130">
        <w:rPr>
          <w:rFonts w:eastAsia="Times New Roman" w:cs="Arial"/>
          <w:spacing w:val="-2"/>
          <w:szCs w:val="18"/>
        </w:rPr>
        <w:t>Sulla opportunità di tornare a valorizzare il ruolo delle imprese pubbliche, anche assegnando ad esse specifiche missioni di interesse pubblico, v. l’analisi e le proposte contenute nel Rapporto del Forum Diseguaglianze Diversità (c.d. Rapporto Barca) su “</w:t>
      </w:r>
      <w:r w:rsidRPr="004C5130">
        <w:rPr>
          <w:rFonts w:eastAsia="Times New Roman" w:cs="Arial"/>
          <w:i/>
          <w:spacing w:val="-2"/>
          <w:szCs w:val="18"/>
        </w:rPr>
        <w:t>Missioni strategiche per le imprese pubbliche”,</w:t>
      </w:r>
      <w:r w:rsidRPr="004C5130">
        <w:rPr>
          <w:rFonts w:eastAsia="Times New Roman" w:cs="Arial"/>
          <w:spacing w:val="-2"/>
          <w:szCs w:val="18"/>
        </w:rPr>
        <w:t xml:space="preserve"> pubblicato il 31 luglio 2020 (sul quale v. anche i commenti contenuti in </w:t>
      </w:r>
      <w:r w:rsidRPr="004C5130">
        <w:rPr>
          <w:rFonts w:eastAsia="Times New Roman" w:cs="Arial"/>
          <w:i/>
          <w:spacing w:val="-2"/>
          <w:szCs w:val="18"/>
        </w:rPr>
        <w:t>Le imprese pubbliche nel rapporto Barca e il diritto azionario italiano</w:t>
      </w:r>
      <w:r w:rsidRPr="004C5130">
        <w:rPr>
          <w:rFonts w:eastAsia="Times New Roman" w:cs="Arial"/>
          <w:spacing w:val="-2"/>
          <w:szCs w:val="18"/>
        </w:rPr>
        <w:t xml:space="preserve"> (con scritti di F.M. Mucciarelli, R. Costi, M. Clarich, S. Fortunato, A. Jorio, P. Montalenti, R. Sacchi e F. Vella), in </w:t>
      </w:r>
      <w:r w:rsidRPr="004C5130">
        <w:rPr>
          <w:rFonts w:eastAsia="Times New Roman" w:cs="Arial"/>
          <w:i/>
          <w:spacing w:val="-2"/>
          <w:szCs w:val="18"/>
        </w:rPr>
        <w:t xml:space="preserve">Giur. </w:t>
      </w:r>
      <w:r w:rsidR="004C5130" w:rsidRPr="004C5130">
        <w:rPr>
          <w:rFonts w:eastAsia="Times New Roman" w:cs="Arial"/>
          <w:i/>
          <w:spacing w:val="-2"/>
          <w:szCs w:val="18"/>
        </w:rPr>
        <w:t>c</w:t>
      </w:r>
      <w:r w:rsidRPr="004C5130">
        <w:rPr>
          <w:rFonts w:eastAsia="Times New Roman" w:cs="Arial"/>
          <w:i/>
          <w:spacing w:val="-2"/>
          <w:szCs w:val="18"/>
        </w:rPr>
        <w:t>omm.,</w:t>
      </w:r>
      <w:r w:rsidRPr="004C5130">
        <w:rPr>
          <w:rFonts w:eastAsia="Times New Roman" w:cs="Arial"/>
          <w:spacing w:val="-2"/>
          <w:szCs w:val="18"/>
        </w:rPr>
        <w:t xml:space="preserve"> n. 3/2021, 517 ss.). V. anche G. </w:t>
      </w:r>
      <w:r w:rsidR="008A3B4E" w:rsidRPr="004C5130">
        <w:rPr>
          <w:rFonts w:eastAsia="Times New Roman" w:cs="Arial"/>
          <w:smallCaps/>
          <w:spacing w:val="-2"/>
          <w:szCs w:val="18"/>
        </w:rPr>
        <w:t>Napolitano</w:t>
      </w:r>
      <w:r w:rsidRPr="004C5130">
        <w:rPr>
          <w:rFonts w:eastAsia="Times New Roman" w:cs="Arial"/>
          <w:spacing w:val="-2"/>
          <w:szCs w:val="18"/>
        </w:rPr>
        <w:t xml:space="preserve">, </w:t>
      </w:r>
      <w:r w:rsidRPr="004C5130">
        <w:rPr>
          <w:rFonts w:eastAsia="Times New Roman" w:cs="Arial"/>
          <w:i/>
          <w:spacing w:val="-2"/>
          <w:szCs w:val="18"/>
        </w:rPr>
        <w:t>Impresa (regolazione amministrativa dell’impresa</w:t>
      </w:r>
      <w:r w:rsidRPr="004C5130">
        <w:rPr>
          <w:rFonts w:eastAsia="Times New Roman" w:cs="Arial"/>
          <w:spacing w:val="-2"/>
          <w:szCs w:val="18"/>
        </w:rPr>
        <w:t xml:space="preserve">), ad </w:t>
      </w:r>
      <w:proofErr w:type="spellStart"/>
      <w:r w:rsidRPr="004C5130">
        <w:rPr>
          <w:rFonts w:eastAsia="Times New Roman" w:cs="Arial"/>
          <w:spacing w:val="-2"/>
          <w:szCs w:val="18"/>
        </w:rPr>
        <w:t>vocem</w:t>
      </w:r>
      <w:proofErr w:type="spellEnd"/>
      <w:r w:rsidRPr="004C5130">
        <w:rPr>
          <w:rFonts w:eastAsia="Times New Roman" w:cs="Arial"/>
          <w:spacing w:val="-2"/>
          <w:szCs w:val="18"/>
        </w:rPr>
        <w:t xml:space="preserve">, in </w:t>
      </w:r>
      <w:r w:rsidRPr="004C5130">
        <w:rPr>
          <w:rFonts w:eastAsia="Times New Roman" w:cs="Arial"/>
          <w:i/>
          <w:spacing w:val="-2"/>
          <w:szCs w:val="18"/>
        </w:rPr>
        <w:t>Enc. dir</w:t>
      </w:r>
      <w:r w:rsidRPr="004C5130">
        <w:rPr>
          <w:rFonts w:eastAsia="Times New Roman" w:cs="Arial"/>
          <w:spacing w:val="-2"/>
          <w:szCs w:val="18"/>
        </w:rPr>
        <w:t xml:space="preserve">., I tematici, </w:t>
      </w:r>
      <w:r w:rsidR="004C5130" w:rsidRPr="004C5130">
        <w:rPr>
          <w:rFonts w:eastAsia="Times New Roman" w:cs="Arial"/>
          <w:smallCaps/>
          <w:spacing w:val="-2"/>
          <w:szCs w:val="18"/>
        </w:rPr>
        <w:t>III</w:t>
      </w:r>
      <w:r w:rsidRPr="004C5130">
        <w:rPr>
          <w:rFonts w:eastAsia="Times New Roman" w:cs="Arial"/>
          <w:spacing w:val="-2"/>
          <w:szCs w:val="18"/>
        </w:rPr>
        <w:t xml:space="preserve">, </w:t>
      </w:r>
      <w:r w:rsidRPr="004C5130">
        <w:rPr>
          <w:rFonts w:eastAsia="Times New Roman" w:cs="Arial"/>
          <w:i/>
          <w:spacing w:val="-2"/>
          <w:szCs w:val="18"/>
        </w:rPr>
        <w:t>Funzioni amministrative</w:t>
      </w:r>
      <w:r w:rsidRPr="004C5130">
        <w:rPr>
          <w:rFonts w:eastAsia="Times New Roman" w:cs="Arial"/>
          <w:spacing w:val="-2"/>
          <w:szCs w:val="18"/>
        </w:rPr>
        <w:t xml:space="preserve">, 2022, cit., </w:t>
      </w:r>
      <w:r w:rsidR="004C5130" w:rsidRPr="004C5130">
        <w:rPr>
          <w:rFonts w:eastAsia="Times New Roman" w:cs="Arial"/>
          <w:spacing w:val="-2"/>
          <w:szCs w:val="18"/>
        </w:rPr>
        <w:t xml:space="preserve">p. </w:t>
      </w:r>
      <w:r w:rsidRPr="004C5130">
        <w:rPr>
          <w:rFonts w:eastAsia="Times New Roman" w:cs="Arial"/>
          <w:spacing w:val="-2"/>
          <w:szCs w:val="18"/>
        </w:rPr>
        <w:t xml:space="preserve">626 ss., in part. </w:t>
      </w:r>
      <w:r w:rsidR="004C5130" w:rsidRPr="004C5130">
        <w:rPr>
          <w:rFonts w:eastAsia="Times New Roman" w:cs="Arial"/>
          <w:spacing w:val="-2"/>
          <w:szCs w:val="18"/>
        </w:rPr>
        <w:t xml:space="preserve">p. </w:t>
      </w:r>
      <w:r w:rsidRPr="004C5130">
        <w:rPr>
          <w:rFonts w:eastAsia="Times New Roman" w:cs="Arial"/>
          <w:spacing w:val="-2"/>
          <w:szCs w:val="18"/>
        </w:rPr>
        <w:t>648 ss.</w:t>
      </w:r>
    </w:p>
  </w:footnote>
  <w:footnote w:id="33">
    <w:p w14:paraId="4EC727DB" w14:textId="7CB745FA" w:rsidR="00410E7F" w:rsidRPr="003F2621" w:rsidRDefault="00410E7F" w:rsidP="004C5130">
      <w:pPr>
        <w:pStyle w:val="Testonotaapidipagina"/>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Ci si riferisce qui, in particolare ma non solo, ai grandi poteri finanziari e digitali, su cui v. ampiamente gli scritti contenuti nel fascicolo 3/2021 della rivista </w:t>
      </w:r>
      <w:r w:rsidRPr="00410E7F">
        <w:rPr>
          <w:rFonts w:eastAsia="Times New Roman" w:cs="Arial"/>
          <w:i/>
          <w:szCs w:val="18"/>
        </w:rPr>
        <w:t>Diritto Pubblico</w:t>
      </w:r>
      <w:r w:rsidRPr="003F2621">
        <w:rPr>
          <w:rFonts w:eastAsia="Times New Roman" w:cs="Arial"/>
          <w:szCs w:val="18"/>
        </w:rPr>
        <w:t xml:space="preserve">, nonché L. </w:t>
      </w:r>
      <w:r w:rsidR="008A3B4E" w:rsidRPr="008A3B4E">
        <w:rPr>
          <w:rFonts w:eastAsia="Times New Roman" w:cs="Arial"/>
          <w:smallCaps/>
          <w:szCs w:val="18"/>
        </w:rPr>
        <w:t>Ammannati</w:t>
      </w:r>
      <w:r w:rsidRPr="003F2621">
        <w:rPr>
          <w:rFonts w:eastAsia="Times New Roman" w:cs="Arial"/>
          <w:szCs w:val="18"/>
        </w:rPr>
        <w:t xml:space="preserve">, </w:t>
      </w:r>
      <w:r w:rsidRPr="00410E7F">
        <w:rPr>
          <w:rFonts w:eastAsia="Times New Roman" w:cs="Arial"/>
          <w:i/>
          <w:szCs w:val="18"/>
        </w:rPr>
        <w:t>I “signori” nell’era dell’algoritmo</w:t>
      </w:r>
      <w:r w:rsidRPr="003F2621">
        <w:rPr>
          <w:rFonts w:eastAsia="Times New Roman" w:cs="Arial"/>
          <w:szCs w:val="18"/>
        </w:rPr>
        <w:t xml:space="preserve">, in </w:t>
      </w:r>
      <w:r w:rsidRPr="00410E7F">
        <w:rPr>
          <w:rFonts w:eastAsia="Times New Roman" w:cs="Arial"/>
          <w:i/>
          <w:szCs w:val="18"/>
        </w:rPr>
        <w:t>Diritto Pubblico</w:t>
      </w:r>
      <w:r w:rsidR="004C5130">
        <w:rPr>
          <w:rFonts w:eastAsia="Times New Roman" w:cs="Arial"/>
          <w:i/>
          <w:szCs w:val="18"/>
        </w:rPr>
        <w:t>,</w:t>
      </w:r>
      <w:r w:rsidRPr="003F2621">
        <w:rPr>
          <w:rFonts w:eastAsia="Times New Roman" w:cs="Arial"/>
          <w:szCs w:val="18"/>
        </w:rPr>
        <w:t xml:space="preserve"> 2021, 2, </w:t>
      </w:r>
      <w:r w:rsidR="004C5130">
        <w:rPr>
          <w:rFonts w:eastAsia="Times New Roman" w:cs="Arial"/>
          <w:szCs w:val="18"/>
        </w:rPr>
        <w:t xml:space="preserve">p. </w:t>
      </w:r>
      <w:r w:rsidRPr="003F2621">
        <w:rPr>
          <w:rFonts w:eastAsia="Times New Roman" w:cs="Arial"/>
          <w:szCs w:val="18"/>
        </w:rPr>
        <w:t>381 ss.</w:t>
      </w:r>
    </w:p>
  </w:footnote>
  <w:footnote w:id="34">
    <w:p w14:paraId="06FCE9A9" w14:textId="25E329F2"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al riguardo le recenti considerazioni di G. </w:t>
      </w:r>
      <w:r w:rsidR="008A3B4E" w:rsidRPr="008A3B4E">
        <w:rPr>
          <w:rFonts w:eastAsia="Times New Roman" w:cs="Arial"/>
          <w:smallCaps/>
          <w:szCs w:val="18"/>
        </w:rPr>
        <w:t>Amato</w:t>
      </w:r>
      <w:r w:rsidRPr="003F2621">
        <w:rPr>
          <w:rFonts w:eastAsia="Times New Roman" w:cs="Arial"/>
          <w:szCs w:val="18"/>
        </w:rPr>
        <w:t xml:space="preserve">, </w:t>
      </w:r>
      <w:r w:rsidRPr="00410E7F">
        <w:rPr>
          <w:rFonts w:eastAsia="Times New Roman" w:cs="Arial"/>
          <w:i/>
          <w:szCs w:val="18"/>
        </w:rPr>
        <w:t>Bentornato Stato, ma</w:t>
      </w:r>
      <w:r w:rsidRPr="003F2621">
        <w:rPr>
          <w:rFonts w:eastAsia="Times New Roman" w:cs="Arial"/>
          <w:szCs w:val="18"/>
        </w:rPr>
        <w:t xml:space="preserve">, Il Mulino, </w:t>
      </w:r>
      <w:r w:rsidR="004C5130" w:rsidRPr="003F2621">
        <w:rPr>
          <w:rFonts w:eastAsia="Times New Roman" w:cs="Arial"/>
          <w:szCs w:val="18"/>
        </w:rPr>
        <w:t xml:space="preserve">Bologna, </w:t>
      </w:r>
      <w:r w:rsidRPr="003F2621">
        <w:rPr>
          <w:rFonts w:eastAsia="Times New Roman" w:cs="Arial"/>
          <w:szCs w:val="18"/>
        </w:rPr>
        <w:t xml:space="preserve">2022, in part. </w:t>
      </w:r>
      <w:r w:rsidR="004C5130">
        <w:rPr>
          <w:rFonts w:eastAsia="Times New Roman" w:cs="Arial"/>
          <w:szCs w:val="18"/>
        </w:rPr>
        <w:t xml:space="preserve">p. </w:t>
      </w:r>
      <w:r w:rsidRPr="003F2621">
        <w:rPr>
          <w:rFonts w:eastAsia="Times New Roman" w:cs="Arial"/>
          <w:szCs w:val="18"/>
        </w:rPr>
        <w:t xml:space="preserve">75 ss.; nonché </w:t>
      </w:r>
      <w:r w:rsidR="004C5130">
        <w:rPr>
          <w:rFonts w:eastAsia="Times New Roman" w:cs="Arial"/>
          <w:szCs w:val="18"/>
        </w:rPr>
        <w:t xml:space="preserve">E. </w:t>
      </w:r>
      <w:r w:rsidR="008A3B4E" w:rsidRPr="008A3B4E">
        <w:rPr>
          <w:rFonts w:eastAsia="Times New Roman" w:cs="Arial"/>
          <w:smallCaps/>
          <w:szCs w:val="18"/>
        </w:rPr>
        <w:t>Bruti</w:t>
      </w:r>
      <w:r w:rsidRPr="003F2621">
        <w:rPr>
          <w:rFonts w:eastAsia="Times New Roman" w:cs="Arial"/>
          <w:szCs w:val="18"/>
        </w:rPr>
        <w:t xml:space="preserve"> </w:t>
      </w:r>
      <w:r w:rsidR="008A3B4E" w:rsidRPr="008A3B4E">
        <w:rPr>
          <w:rFonts w:eastAsia="Times New Roman" w:cs="Arial"/>
          <w:smallCaps/>
          <w:szCs w:val="18"/>
        </w:rPr>
        <w:t>Liberati</w:t>
      </w:r>
      <w:r w:rsidRPr="003F2621">
        <w:rPr>
          <w:rFonts w:eastAsia="Times New Roman" w:cs="Arial"/>
          <w:szCs w:val="18"/>
        </w:rPr>
        <w:t xml:space="preserve">, </w:t>
      </w:r>
      <w:r w:rsidRPr="00410E7F">
        <w:rPr>
          <w:rFonts w:eastAsia="Times New Roman" w:cs="Arial"/>
          <w:i/>
          <w:szCs w:val="18"/>
        </w:rPr>
        <w:t>Industria</w:t>
      </w:r>
      <w:r w:rsidRPr="003F2621">
        <w:rPr>
          <w:rFonts w:eastAsia="Times New Roman" w:cs="Arial"/>
          <w:szCs w:val="18"/>
        </w:rPr>
        <w:t>, cit., in part.</w:t>
      </w:r>
      <w:r w:rsidR="004C5130">
        <w:rPr>
          <w:rFonts w:eastAsia="Times New Roman" w:cs="Arial"/>
          <w:szCs w:val="18"/>
        </w:rPr>
        <w:t xml:space="preserve"> p.</w:t>
      </w:r>
      <w:r w:rsidRPr="003F2621">
        <w:rPr>
          <w:rFonts w:eastAsia="Times New Roman" w:cs="Arial"/>
          <w:szCs w:val="18"/>
        </w:rPr>
        <w:t xml:space="preserve"> 660 ss.</w:t>
      </w:r>
    </w:p>
  </w:footnote>
  <w:footnote w:id="35">
    <w:p w14:paraId="661632BB" w14:textId="0063A89C"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ancora la Comunicazione </w:t>
      </w:r>
      <w:r w:rsidR="004C5130" w:rsidRPr="008A3B4E">
        <w:rPr>
          <w:rFonts w:eastAsia="Times New Roman" w:cs="Arial"/>
          <w:smallCaps/>
          <w:szCs w:val="18"/>
        </w:rPr>
        <w:t>REPOWEREU</w:t>
      </w:r>
      <w:r w:rsidR="004C5130" w:rsidRPr="003F2621">
        <w:rPr>
          <w:rFonts w:eastAsia="Times New Roman" w:cs="Arial"/>
          <w:szCs w:val="18"/>
        </w:rPr>
        <w:t xml:space="preserve"> </w:t>
      </w:r>
      <w:r w:rsidRPr="003F2621">
        <w:rPr>
          <w:rFonts w:eastAsia="Times New Roman" w:cs="Arial"/>
          <w:szCs w:val="18"/>
        </w:rPr>
        <w:t>dell’8 marzo 2022.</w:t>
      </w:r>
    </w:p>
  </w:footnote>
  <w:footnote w:id="36">
    <w:p w14:paraId="279CAD91" w14:textId="1459BC12"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Per quanto si possa criticare la posizione di chi affronta il problema climatico in termini esclusivamente o prevalentemente tecnici, è scontato che lo sviluppo in tempi sufficientemente accelerati di soluzioni tecnologiche innovative ed economicamente sostenibili rappresenta un elemento chiave per il successo nella lotta al cambiamento climatico.</w:t>
      </w:r>
    </w:p>
  </w:footnote>
  <w:footnote w:id="37">
    <w:p w14:paraId="7D4AF4C8" w14:textId="0A482957"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Com’è noto, rientra tra tali misure anche la fissazione di un tetto europeo al prezzo del gas, che vorrebbe indirettamente limitare il potere negoziale dei produttori e che è stata proposta da diversi Stati europei, ma sino ad oggi ha incontrato forti – e forse non disinteressate – resistenze da parte di alcuni governi.</w:t>
      </w:r>
    </w:p>
  </w:footnote>
  <w:footnote w:id="38">
    <w:p w14:paraId="12175864" w14:textId="79C3F5C1"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V. nuovamente gli allegati 1 e 2 alla Comunicazione </w:t>
      </w:r>
      <w:r w:rsidR="004C5130" w:rsidRPr="008A3B4E">
        <w:rPr>
          <w:rFonts w:eastAsia="Times New Roman" w:cs="Arial"/>
          <w:smallCaps/>
          <w:szCs w:val="18"/>
        </w:rPr>
        <w:t>REPOWER</w:t>
      </w:r>
      <w:r w:rsidR="004C5130" w:rsidRPr="003F2621">
        <w:rPr>
          <w:rFonts w:eastAsia="Times New Roman" w:cs="Arial"/>
          <w:szCs w:val="18"/>
        </w:rPr>
        <w:t xml:space="preserve"> </w:t>
      </w:r>
      <w:r w:rsidRPr="003F2621">
        <w:rPr>
          <w:rFonts w:eastAsia="Times New Roman" w:cs="Arial"/>
          <w:szCs w:val="18"/>
        </w:rPr>
        <w:t>EU, che definiscono abbastanza puntualmente i vincoli che, sulla base dei Trattati europei e della giurisprudenza della Corte di Giustizia, gli Stati membri devono rispettare quando intendono intervenire sui prezzi dei prodotti energetici oppure assoggettare a prelievi straordinari i profitti delle imprese energetiche.</w:t>
      </w:r>
    </w:p>
  </w:footnote>
  <w:footnote w:id="39">
    <w:p w14:paraId="0D1D06E3" w14:textId="736E9503"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Sulla ovvia propensione del capitale privato a rifuggire da vincoli e costi definiti nel pubblico interesse e soprattutto sulle condizioni alle quali in linea generale esso subordina la sua disponibilità ad investire in impieghi funzionali anche al conseguimento di obiettivi di carattere sociale, sono sempre illuminanti – anche se non necessariamente </w:t>
      </w:r>
      <w:r w:rsidRPr="00410E7F">
        <w:rPr>
          <w:rFonts w:eastAsia="Times New Roman" w:cs="Arial"/>
          <w:i/>
          <w:szCs w:val="18"/>
        </w:rPr>
        <w:t xml:space="preserve">in toto </w:t>
      </w:r>
      <w:r w:rsidRPr="003F2621">
        <w:rPr>
          <w:rFonts w:eastAsia="Times New Roman" w:cs="Arial"/>
          <w:szCs w:val="18"/>
        </w:rPr>
        <w:t xml:space="preserve">condivisibili – le riflessioni di W. </w:t>
      </w:r>
      <w:proofErr w:type="spellStart"/>
      <w:r w:rsidR="008A3B4E" w:rsidRPr="008A3B4E">
        <w:rPr>
          <w:rFonts w:eastAsia="Times New Roman" w:cs="Arial"/>
          <w:smallCaps/>
          <w:szCs w:val="18"/>
        </w:rPr>
        <w:t>Streeck</w:t>
      </w:r>
      <w:proofErr w:type="spellEnd"/>
      <w:r w:rsidRPr="003F2621">
        <w:rPr>
          <w:rFonts w:eastAsia="Times New Roman" w:cs="Arial"/>
          <w:szCs w:val="18"/>
        </w:rPr>
        <w:t xml:space="preserve">, </w:t>
      </w:r>
      <w:r w:rsidRPr="00410E7F">
        <w:rPr>
          <w:rFonts w:eastAsia="Times New Roman" w:cs="Arial"/>
          <w:i/>
          <w:szCs w:val="18"/>
        </w:rPr>
        <w:t>Tempo guadagnato. La crisi rinviata del capitalismo democratico</w:t>
      </w:r>
      <w:r w:rsidRPr="003F2621">
        <w:rPr>
          <w:rFonts w:eastAsia="Times New Roman" w:cs="Arial"/>
          <w:szCs w:val="18"/>
        </w:rPr>
        <w:t>, Feltrinelli, Milano, 2013.</w:t>
      </w:r>
    </w:p>
  </w:footnote>
  <w:footnote w:id="40">
    <w:p w14:paraId="3C695A86" w14:textId="7D036EE4" w:rsidR="00410E7F" w:rsidRPr="003F2621" w:rsidRDefault="00410E7F" w:rsidP="003F2621">
      <w:pPr>
        <w:pStyle w:val="Testonotaapidipagina"/>
        <w:widowControl/>
        <w:rPr>
          <w:rFonts w:eastAsia="Times New Roman" w:cs="Arial"/>
          <w:szCs w:val="18"/>
        </w:rPr>
      </w:pPr>
      <w:r w:rsidRPr="00410E7F">
        <w:rPr>
          <w:rFonts w:cs="Arial"/>
          <w:szCs w:val="18"/>
          <w:vertAlign w:val="superscript"/>
        </w:rPr>
        <w:footnoteRef/>
      </w:r>
      <w:r>
        <w:rPr>
          <w:rFonts w:eastAsia="Times New Roman" w:cs="Arial"/>
          <w:szCs w:val="18"/>
          <w:vertAlign w:val="superscript"/>
        </w:rPr>
        <w:t> </w:t>
      </w:r>
      <w:r w:rsidRPr="003F2621">
        <w:rPr>
          <w:rFonts w:eastAsia="Times New Roman" w:cs="Arial"/>
          <w:szCs w:val="18"/>
        </w:rPr>
        <w:t xml:space="preserve">Per una riflessione propriamente giuridica sul modello neo-liberale v. F. </w:t>
      </w:r>
      <w:proofErr w:type="spellStart"/>
      <w:r w:rsidR="008A3B4E" w:rsidRPr="008A3B4E">
        <w:rPr>
          <w:rFonts w:eastAsia="Times New Roman" w:cs="Arial"/>
          <w:smallCaps/>
          <w:szCs w:val="18"/>
        </w:rPr>
        <w:t>Denozza</w:t>
      </w:r>
      <w:proofErr w:type="spellEnd"/>
      <w:r w:rsidRPr="003F2621">
        <w:rPr>
          <w:rFonts w:eastAsia="Times New Roman" w:cs="Arial"/>
          <w:szCs w:val="18"/>
        </w:rPr>
        <w:t xml:space="preserve">, </w:t>
      </w:r>
      <w:r w:rsidRPr="00410E7F">
        <w:rPr>
          <w:rFonts w:eastAsia="Times New Roman" w:cs="Arial"/>
          <w:i/>
          <w:szCs w:val="18"/>
        </w:rPr>
        <w:t>Regole e mercato nel diritto neo-liberale</w:t>
      </w:r>
      <w:r w:rsidRPr="003F2621">
        <w:rPr>
          <w:rFonts w:eastAsia="Times New Roman" w:cs="Arial"/>
          <w:szCs w:val="18"/>
        </w:rPr>
        <w:t xml:space="preserve">, in M. </w:t>
      </w:r>
      <w:r w:rsidR="008A3B4E" w:rsidRPr="008A3B4E">
        <w:rPr>
          <w:rFonts w:eastAsia="Times New Roman" w:cs="Arial"/>
          <w:smallCaps/>
          <w:szCs w:val="18"/>
        </w:rPr>
        <w:t>Rispoli</w:t>
      </w:r>
      <w:r w:rsidRPr="003F2621">
        <w:rPr>
          <w:rFonts w:eastAsia="Times New Roman" w:cs="Arial"/>
          <w:szCs w:val="18"/>
        </w:rPr>
        <w:t xml:space="preserve"> </w:t>
      </w:r>
      <w:r w:rsidR="008A3B4E" w:rsidRPr="008A3B4E">
        <w:rPr>
          <w:rFonts w:eastAsia="Times New Roman" w:cs="Arial"/>
          <w:smallCaps/>
          <w:szCs w:val="18"/>
        </w:rPr>
        <w:t>Farina</w:t>
      </w:r>
      <w:r w:rsidR="004C5130">
        <w:rPr>
          <w:rFonts w:eastAsia="Times New Roman" w:cs="Arial"/>
          <w:szCs w:val="18"/>
        </w:rPr>
        <w:t>-</w:t>
      </w:r>
      <w:r w:rsidRPr="003F2621">
        <w:rPr>
          <w:rFonts w:eastAsia="Times New Roman" w:cs="Arial"/>
          <w:szCs w:val="18"/>
        </w:rPr>
        <w:t xml:space="preserve">A. </w:t>
      </w:r>
      <w:r w:rsidR="008A3B4E" w:rsidRPr="008A3B4E">
        <w:rPr>
          <w:rFonts w:eastAsia="Times New Roman" w:cs="Arial"/>
          <w:smallCaps/>
          <w:szCs w:val="18"/>
        </w:rPr>
        <w:t>Sciarrone</w:t>
      </w:r>
      <w:r w:rsidRPr="003F2621">
        <w:rPr>
          <w:rFonts w:eastAsia="Times New Roman" w:cs="Arial"/>
          <w:szCs w:val="18"/>
        </w:rPr>
        <w:t xml:space="preserve"> </w:t>
      </w:r>
      <w:r w:rsidR="008A3B4E" w:rsidRPr="008A3B4E">
        <w:rPr>
          <w:rFonts w:eastAsia="Times New Roman" w:cs="Arial"/>
          <w:smallCaps/>
          <w:szCs w:val="18"/>
        </w:rPr>
        <w:t>Alibrandi</w:t>
      </w:r>
      <w:r w:rsidR="004C5130">
        <w:rPr>
          <w:rFonts w:eastAsia="Times New Roman" w:cs="Arial"/>
          <w:szCs w:val="18"/>
        </w:rPr>
        <w:t>-</w:t>
      </w:r>
      <w:r w:rsidRPr="003F2621">
        <w:rPr>
          <w:rFonts w:eastAsia="Times New Roman" w:cs="Arial"/>
          <w:szCs w:val="18"/>
        </w:rPr>
        <w:t xml:space="preserve">E. </w:t>
      </w:r>
      <w:r w:rsidR="008A3B4E" w:rsidRPr="008A3B4E">
        <w:rPr>
          <w:rFonts w:eastAsia="Times New Roman" w:cs="Arial"/>
          <w:smallCaps/>
          <w:szCs w:val="18"/>
        </w:rPr>
        <w:t>Tonelli</w:t>
      </w:r>
      <w:r w:rsidRPr="003F2621">
        <w:rPr>
          <w:rFonts w:eastAsia="Times New Roman" w:cs="Arial"/>
          <w:szCs w:val="18"/>
        </w:rPr>
        <w:t xml:space="preserve"> (a cura di), </w:t>
      </w:r>
      <w:r w:rsidRPr="00410E7F">
        <w:rPr>
          <w:rFonts w:eastAsia="Times New Roman" w:cs="Arial"/>
          <w:i/>
          <w:szCs w:val="18"/>
        </w:rPr>
        <w:t>Regole e mercato</w:t>
      </w:r>
      <w:r w:rsidRPr="003F2621">
        <w:rPr>
          <w:rFonts w:eastAsia="Times New Roman" w:cs="Arial"/>
          <w:szCs w:val="18"/>
        </w:rPr>
        <w:t xml:space="preserve">, vol. II, Giappichelli, </w:t>
      </w:r>
      <w:r w:rsidR="004C5130" w:rsidRPr="003F2621">
        <w:rPr>
          <w:rFonts w:eastAsia="Times New Roman" w:cs="Arial"/>
          <w:szCs w:val="18"/>
        </w:rPr>
        <w:t xml:space="preserve">Torino, </w:t>
      </w:r>
      <w:r w:rsidRPr="003F2621">
        <w:rPr>
          <w:rFonts w:eastAsia="Times New Roman" w:cs="Arial"/>
          <w:szCs w:val="18"/>
        </w:rPr>
        <w:t xml:space="preserve">2017, </w:t>
      </w:r>
      <w:r w:rsidR="004C5130">
        <w:rPr>
          <w:rFonts w:eastAsia="Times New Roman" w:cs="Arial"/>
          <w:szCs w:val="18"/>
        </w:rPr>
        <w:t xml:space="preserve">p. </w:t>
      </w:r>
      <w:r w:rsidRPr="003F2621">
        <w:rPr>
          <w:rFonts w:eastAsia="Times New Roman" w:cs="Arial"/>
          <w:szCs w:val="18"/>
        </w:rPr>
        <w:t>XV ss</w:t>
      </w:r>
      <w:r>
        <w:rPr>
          <w:rFonts w:eastAsia="Times New Roman" w:cs="Arial"/>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E2BBD"/>
    <w:multiLevelType w:val="multilevel"/>
    <w:tmpl w:val="6E4E400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6A5A52B6"/>
    <w:multiLevelType w:val="hybridMultilevel"/>
    <w:tmpl w:val="7B2264F6"/>
    <w:lvl w:ilvl="0" w:tplc="5D6C6920">
      <w:start w:val="1"/>
      <w:numFmt w:val="decimal"/>
      <w:lvlText w:val="%1."/>
      <w:lvlJc w:val="left"/>
      <w:pPr>
        <w:ind w:left="-37" w:hanging="360"/>
      </w:pPr>
      <w:rPr>
        <w:rFonts w:hint="default"/>
      </w:rPr>
    </w:lvl>
    <w:lvl w:ilvl="1" w:tplc="04100019" w:tentative="1">
      <w:start w:val="1"/>
      <w:numFmt w:val="lowerLetter"/>
      <w:lvlText w:val="%2."/>
      <w:lvlJc w:val="left"/>
      <w:pPr>
        <w:ind w:left="683" w:hanging="360"/>
      </w:pPr>
    </w:lvl>
    <w:lvl w:ilvl="2" w:tplc="0410001B" w:tentative="1">
      <w:start w:val="1"/>
      <w:numFmt w:val="lowerRoman"/>
      <w:lvlText w:val="%3."/>
      <w:lvlJc w:val="right"/>
      <w:pPr>
        <w:ind w:left="1403" w:hanging="180"/>
      </w:pPr>
    </w:lvl>
    <w:lvl w:ilvl="3" w:tplc="0410000F" w:tentative="1">
      <w:start w:val="1"/>
      <w:numFmt w:val="decimal"/>
      <w:lvlText w:val="%4."/>
      <w:lvlJc w:val="left"/>
      <w:pPr>
        <w:ind w:left="2123" w:hanging="360"/>
      </w:pPr>
    </w:lvl>
    <w:lvl w:ilvl="4" w:tplc="04100019" w:tentative="1">
      <w:start w:val="1"/>
      <w:numFmt w:val="lowerLetter"/>
      <w:lvlText w:val="%5."/>
      <w:lvlJc w:val="left"/>
      <w:pPr>
        <w:ind w:left="2843" w:hanging="360"/>
      </w:pPr>
    </w:lvl>
    <w:lvl w:ilvl="5" w:tplc="0410001B" w:tentative="1">
      <w:start w:val="1"/>
      <w:numFmt w:val="lowerRoman"/>
      <w:lvlText w:val="%6."/>
      <w:lvlJc w:val="right"/>
      <w:pPr>
        <w:ind w:left="3563" w:hanging="180"/>
      </w:pPr>
    </w:lvl>
    <w:lvl w:ilvl="6" w:tplc="0410000F" w:tentative="1">
      <w:start w:val="1"/>
      <w:numFmt w:val="decimal"/>
      <w:lvlText w:val="%7."/>
      <w:lvlJc w:val="left"/>
      <w:pPr>
        <w:ind w:left="4283" w:hanging="360"/>
      </w:pPr>
    </w:lvl>
    <w:lvl w:ilvl="7" w:tplc="04100019" w:tentative="1">
      <w:start w:val="1"/>
      <w:numFmt w:val="lowerLetter"/>
      <w:lvlText w:val="%8."/>
      <w:lvlJc w:val="left"/>
      <w:pPr>
        <w:ind w:left="5003" w:hanging="360"/>
      </w:pPr>
    </w:lvl>
    <w:lvl w:ilvl="8" w:tplc="0410001B" w:tentative="1">
      <w:start w:val="1"/>
      <w:numFmt w:val="lowerRoman"/>
      <w:lvlText w:val="%9."/>
      <w:lvlJc w:val="right"/>
      <w:pPr>
        <w:ind w:left="5723" w:hanging="180"/>
      </w:pPr>
    </w:lvl>
  </w:abstractNum>
  <w:num w:numId="1" w16cid:durableId="350187091">
    <w:abstractNumId w:val="1"/>
  </w:num>
  <w:num w:numId="2" w16cid:durableId="9858598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8"/>
  <w:autoHyphenation/>
  <w:hyphenationZone w:val="283"/>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40EF"/>
    <w:rsid w:val="00011772"/>
    <w:rsid w:val="00025301"/>
    <w:rsid w:val="001C036E"/>
    <w:rsid w:val="002070AB"/>
    <w:rsid w:val="00240B56"/>
    <w:rsid w:val="00267494"/>
    <w:rsid w:val="00283577"/>
    <w:rsid w:val="00290E8E"/>
    <w:rsid w:val="00293565"/>
    <w:rsid w:val="002D5069"/>
    <w:rsid w:val="00313FF7"/>
    <w:rsid w:val="003F2621"/>
    <w:rsid w:val="00410E7F"/>
    <w:rsid w:val="00430F52"/>
    <w:rsid w:val="004C5130"/>
    <w:rsid w:val="004E00EC"/>
    <w:rsid w:val="00524656"/>
    <w:rsid w:val="006155AD"/>
    <w:rsid w:val="00615DEC"/>
    <w:rsid w:val="00717462"/>
    <w:rsid w:val="007B3456"/>
    <w:rsid w:val="0083572A"/>
    <w:rsid w:val="008840F4"/>
    <w:rsid w:val="008A3B4E"/>
    <w:rsid w:val="00905707"/>
    <w:rsid w:val="00977649"/>
    <w:rsid w:val="00991E80"/>
    <w:rsid w:val="00997D56"/>
    <w:rsid w:val="00A54D72"/>
    <w:rsid w:val="00A57397"/>
    <w:rsid w:val="00AD1537"/>
    <w:rsid w:val="00B76087"/>
    <w:rsid w:val="00C140EF"/>
    <w:rsid w:val="00CC2101"/>
    <w:rsid w:val="00D12C31"/>
    <w:rsid w:val="00D16B97"/>
    <w:rsid w:val="00DA7E03"/>
    <w:rsid w:val="00DF3C18"/>
    <w:rsid w:val="00E55A77"/>
    <w:rsid w:val="00E75147"/>
    <w:rsid w:val="00ED343A"/>
    <w:rsid w:val="00FB31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0D8B43"/>
  <w15:chartTrackingRefBased/>
  <w15:docId w15:val="{90B3B4A0-172A-4E74-89A3-20AE90D65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emiHidden/>
    <w:qFormat/>
    <w:rsid w:val="00410E7F"/>
    <w:rPr>
      <w:noProo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uddivisionetitolata">
    <w:name w:val="Suddivisione titolata"/>
    <w:semiHidden/>
    <w:qFormat/>
    <w:rsid w:val="00290E8E"/>
    <w:pPr>
      <w:spacing w:before="260" w:after="120" w:line="260" w:lineRule="exact"/>
      <w:ind w:left="284" w:hanging="284"/>
      <w:jc w:val="both"/>
    </w:pPr>
    <w:rPr>
      <w:rFonts w:ascii="Simoncini Garamond Std" w:eastAsia="Times New Roman" w:hAnsi="Simoncini Garamond Std" w:cs="Times New Roman"/>
      <w:i/>
      <w:lang w:eastAsia="it-IT"/>
    </w:rPr>
  </w:style>
  <w:style w:type="paragraph" w:customStyle="1" w:styleId="Paragrafo">
    <w:name w:val="Paragrafo"/>
    <w:rsid w:val="003F2621"/>
    <w:pPr>
      <w:keepNext/>
      <w:spacing w:before="640" w:after="384" w:line="290" w:lineRule="exact"/>
      <w:ind w:hanging="397"/>
      <w:jc w:val="both"/>
    </w:pPr>
    <w:rPr>
      <w:rFonts w:ascii="Arial" w:eastAsia="Times New Roman" w:hAnsi="Arial" w:cs="Times New Roman"/>
      <w:b/>
      <w:color w:val="974726"/>
      <w:sz w:val="25"/>
      <w:szCs w:val="20"/>
      <w:lang w:eastAsia="it-IT"/>
    </w:rPr>
  </w:style>
  <w:style w:type="paragraph" w:styleId="Corpodeltesto2">
    <w:name w:val="Body Text 2"/>
    <w:basedOn w:val="Normale"/>
    <w:link w:val="Corpodeltesto2Carattere"/>
    <w:uiPriority w:val="99"/>
    <w:semiHidden/>
    <w:unhideWhenUsed/>
    <w:rsid w:val="001C036E"/>
    <w:pPr>
      <w:spacing w:after="120" w:line="480" w:lineRule="auto"/>
    </w:pPr>
  </w:style>
  <w:style w:type="character" w:customStyle="1" w:styleId="Corpodeltesto2Carattere">
    <w:name w:val="Corpo del testo 2 Carattere"/>
    <w:basedOn w:val="Carpredefinitoparagrafo"/>
    <w:link w:val="Corpodeltesto2"/>
    <w:uiPriority w:val="99"/>
    <w:semiHidden/>
    <w:rsid w:val="001C036E"/>
    <w:rPr>
      <w:noProof/>
    </w:rPr>
  </w:style>
  <w:style w:type="paragraph" w:styleId="Testonotaapidipagina">
    <w:name w:val="footnote text"/>
    <w:link w:val="TestonotaapidipaginaCarattere"/>
    <w:qFormat/>
    <w:rsid w:val="00C140EF"/>
    <w:pPr>
      <w:widowControl w:val="0"/>
      <w:spacing w:before="60" w:after="0" w:line="205" w:lineRule="exact"/>
      <w:ind w:firstLine="284"/>
      <w:jc w:val="both"/>
    </w:pPr>
    <w:rPr>
      <w:rFonts w:ascii="Arial" w:eastAsia="MS Mincho" w:hAnsi="Arial" w:cs="Times New Roman"/>
      <w:sz w:val="18"/>
      <w:szCs w:val="20"/>
      <w:lang w:eastAsia="it-IT"/>
    </w:rPr>
  </w:style>
  <w:style w:type="character" w:customStyle="1" w:styleId="TestonotaapidipaginaCarattere">
    <w:name w:val="Testo nota a piè di pagina Carattere"/>
    <w:basedOn w:val="Carpredefinitoparagrafo"/>
    <w:link w:val="Testonotaapidipagina"/>
    <w:rsid w:val="00C140EF"/>
    <w:rPr>
      <w:rFonts w:ascii="Arial" w:eastAsia="MS Mincho" w:hAnsi="Arial" w:cs="Times New Roman"/>
      <w:sz w:val="18"/>
      <w:szCs w:val="20"/>
      <w:lang w:eastAsia="it-IT"/>
    </w:rPr>
  </w:style>
  <w:style w:type="paragraph" w:customStyle="1" w:styleId="Titolocapitolo">
    <w:name w:val="Titolo capitolo"/>
    <w:rsid w:val="00C140EF"/>
    <w:pPr>
      <w:widowControl w:val="0"/>
      <w:spacing w:before="1040" w:after="140" w:line="420" w:lineRule="exact"/>
    </w:pPr>
    <w:rPr>
      <w:rFonts w:ascii="Arial" w:eastAsia="Times New Roman" w:hAnsi="Arial" w:cs="Times New Roman"/>
      <w:b/>
      <w:color w:val="974726"/>
      <w:sz w:val="36"/>
      <w:szCs w:val="40"/>
      <w:lang w:eastAsia="it-IT"/>
    </w:rPr>
  </w:style>
  <w:style w:type="paragraph" w:customStyle="1" w:styleId="Autore">
    <w:name w:val="Autore"/>
    <w:uiPriority w:val="99"/>
    <w:rsid w:val="00C140EF"/>
    <w:pPr>
      <w:widowControl w:val="0"/>
      <w:spacing w:after="512" w:line="280" w:lineRule="exact"/>
      <w:jc w:val="both"/>
    </w:pPr>
    <w:rPr>
      <w:rFonts w:ascii="Arial" w:eastAsia="Times New Roman" w:hAnsi="Arial" w:cs="Times New Roman"/>
      <w:b/>
      <w:i/>
      <w:color w:val="AE1F23"/>
      <w:szCs w:val="20"/>
      <w:lang w:eastAsia="it-IT"/>
    </w:rPr>
  </w:style>
  <w:style w:type="paragraph" w:customStyle="1" w:styleId="Sommario">
    <w:name w:val="Sommario"/>
    <w:rsid w:val="003F2621"/>
    <w:pPr>
      <w:spacing w:before="536" w:after="768" w:line="205" w:lineRule="exact"/>
      <w:ind w:left="284" w:hanging="284"/>
      <w:jc w:val="both"/>
    </w:pPr>
    <w:rPr>
      <w:rFonts w:ascii="Arial" w:eastAsia="Times New Roman" w:hAnsi="Arial" w:cs="Times New Roman"/>
      <w:sz w:val="18"/>
      <w:szCs w:val="20"/>
      <w:lang w:eastAsia="it-IT"/>
    </w:rPr>
  </w:style>
  <w:style w:type="paragraph" w:customStyle="1" w:styleId="Capoverso">
    <w:name w:val="Capoverso"/>
    <w:link w:val="CapoversoCarattere"/>
    <w:qFormat/>
    <w:rsid w:val="003F2621"/>
    <w:pPr>
      <w:spacing w:after="0" w:line="260" w:lineRule="exact"/>
      <w:ind w:firstLine="284"/>
      <w:jc w:val="both"/>
    </w:pPr>
    <w:rPr>
      <w:rFonts w:ascii="Arial" w:eastAsia="Times New Roman" w:hAnsi="Arial" w:cs="Times New Roman"/>
      <w:szCs w:val="20"/>
      <w:lang w:eastAsia="it-IT"/>
    </w:rPr>
  </w:style>
  <w:style w:type="character" w:customStyle="1" w:styleId="CapoversoCarattere">
    <w:name w:val="Capoverso Carattere"/>
    <w:link w:val="Capoverso"/>
    <w:rsid w:val="003F2621"/>
    <w:rPr>
      <w:rFonts w:ascii="Arial" w:eastAsia="Times New Roman" w:hAnsi="Arial" w:cs="Times New Roman"/>
      <w:szCs w:val="20"/>
      <w:lang w:eastAsia="it-IT"/>
    </w:rPr>
  </w:style>
  <w:style w:type="paragraph" w:customStyle="1" w:styleId="Parolechiave">
    <w:name w:val="Parole chiave"/>
    <w:qFormat/>
    <w:rsid w:val="00C140EF"/>
    <w:pPr>
      <w:widowControl w:val="0"/>
      <w:spacing w:after="240" w:line="224" w:lineRule="exact"/>
      <w:ind w:left="284" w:right="284"/>
      <w:jc w:val="both"/>
    </w:pPr>
    <w:rPr>
      <w:rFonts w:ascii="Arial" w:eastAsia="MS Mincho" w:hAnsi="Arial" w:cs="Times New Roman"/>
      <w:sz w:val="19"/>
      <w:szCs w:val="24"/>
      <w:lang w:eastAsia="it-IT"/>
    </w:rPr>
  </w:style>
  <w:style w:type="paragraph" w:customStyle="1" w:styleId="Parolechiaveinglese">
    <w:name w:val="Parole chiave inglese"/>
    <w:basedOn w:val="Parolechiave"/>
    <w:qFormat/>
    <w:rsid w:val="00C140EF"/>
    <w:pPr>
      <w:spacing w:after="0"/>
    </w:pPr>
    <w:rPr>
      <w:i/>
      <w:lang w:val="en-GB"/>
    </w:rPr>
  </w:style>
  <w:style w:type="paragraph" w:customStyle="1" w:styleId="TitolodelCapitoloinglese">
    <w:name w:val="Titolo del Capitolo inglese"/>
    <w:basedOn w:val="Titolocapitolo"/>
    <w:qFormat/>
    <w:rsid w:val="00C140EF"/>
    <w:pPr>
      <w:spacing w:before="0"/>
    </w:pPr>
    <w:rPr>
      <w:rFonts w:cs="Arial"/>
      <w:i/>
      <w:lang w:val="en-GB"/>
    </w:rPr>
  </w:style>
  <w:style w:type="paragraph" w:styleId="Intestazione">
    <w:name w:val="header"/>
    <w:basedOn w:val="Normale"/>
    <w:link w:val="IntestazioneCarattere"/>
    <w:uiPriority w:val="99"/>
    <w:semiHidden/>
    <w:rsid w:val="00B760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410E7F"/>
    <w:rPr>
      <w:noProof/>
    </w:rPr>
  </w:style>
  <w:style w:type="paragraph" w:styleId="Pidipagina">
    <w:name w:val="footer"/>
    <w:basedOn w:val="Normale"/>
    <w:link w:val="PidipaginaCarattere"/>
    <w:uiPriority w:val="99"/>
    <w:semiHidden/>
    <w:rsid w:val="00B760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410E7F"/>
    <w:rPr>
      <w:noProof/>
    </w:rPr>
  </w:style>
  <w:style w:type="character" w:styleId="Rimandonotaapidipagina">
    <w:name w:val="footnote reference"/>
    <w:semiHidden/>
    <w:unhideWhenUsed/>
    <w:rsid w:val="00011772"/>
    <w:rPr>
      <w:position w:val="0"/>
      <w:vertAlign w:val="superscript"/>
    </w:rPr>
  </w:style>
  <w:style w:type="paragraph" w:styleId="Revisione">
    <w:name w:val="Revision"/>
    <w:hidden/>
    <w:uiPriority w:val="99"/>
    <w:semiHidden/>
    <w:rsid w:val="00293565"/>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107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667709-84B5-4307-8ED2-04A750D78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3193</Words>
  <Characters>18201</Characters>
  <Application>Microsoft Office Word</Application>
  <DocSecurity>0</DocSecurity>
  <Lines>151</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Zaza</dc:creator>
  <cp:keywords/>
  <dc:description/>
  <cp:lastModifiedBy>Eugenio Bruti Liberati</cp:lastModifiedBy>
  <cp:revision>2</cp:revision>
  <cp:lastPrinted>2022-09-08T08:18:00Z</cp:lastPrinted>
  <dcterms:created xsi:type="dcterms:W3CDTF">2023-01-14T14:22:00Z</dcterms:created>
  <dcterms:modified xsi:type="dcterms:W3CDTF">2023-01-14T14:22:00Z</dcterms:modified>
</cp:coreProperties>
</file>